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C3C5" w14:textId="215F3F0B" w:rsidR="00486238" w:rsidRPr="00CC786A" w:rsidRDefault="00486238" w:rsidP="003B0378">
      <w:pPr>
        <w:spacing w:after="0" w:line="240" w:lineRule="auto"/>
        <w:jc w:val="center"/>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88020525"/>
      <w:r w:rsidRPr="00CC786A">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NPDES </w:t>
      </w:r>
      <w:r w:rsidR="003B0378">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Permit Fact Sheets </w:t>
      </w:r>
    </w:p>
    <w:p w14:paraId="465F4B29" w14:textId="11B50CFA" w:rsidR="00486238" w:rsidRPr="00CC786A" w:rsidRDefault="003B0378" w:rsidP="00486238">
      <w:pPr>
        <w:spacing w:after="0" w:line="240" w:lineRule="auto"/>
        <w:jc w:val="center"/>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Check List for </w:t>
      </w:r>
      <w:r w:rsidR="00486238" w:rsidRPr="00CC786A">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Enhancing Clarity and Transparency</w:t>
      </w:r>
      <w:bookmarkEnd w:id="0"/>
    </w:p>
    <w:p w14:paraId="13C2761A" w14:textId="122538EF" w:rsidR="00FF0707" w:rsidRPr="00294EA6" w:rsidRDefault="00FF0707" w:rsidP="00355F1D">
      <w:pPr>
        <w:pStyle w:val="NoSpacing"/>
        <w:rPr>
          <w:rFonts w:cstheme="minorHAnsi"/>
          <w:sz w:val="24"/>
          <w:szCs w:val="24"/>
        </w:rPr>
      </w:pPr>
      <w:bookmarkStart w:id="1" w:name="_Hlk124164099"/>
    </w:p>
    <w:p w14:paraId="258D9570" w14:textId="124435D6" w:rsidR="008D60AE" w:rsidRPr="00A404A0" w:rsidRDefault="00FD4913" w:rsidP="00355F1D">
      <w:pPr>
        <w:pStyle w:val="NoSpacing"/>
        <w:rPr>
          <w:rFonts w:cstheme="minorHAnsi"/>
          <w:sz w:val="24"/>
          <w:szCs w:val="24"/>
        </w:rPr>
      </w:pPr>
      <w:bookmarkStart w:id="2" w:name="_Hlk139287474"/>
      <w:bookmarkEnd w:id="1"/>
      <w:r w:rsidRPr="00D376BC">
        <w:rPr>
          <w:rFonts w:cstheme="minorHAnsi"/>
          <w:sz w:val="24"/>
          <w:szCs w:val="24"/>
        </w:rPr>
        <w:t xml:space="preserve">This </w:t>
      </w:r>
      <w:r>
        <w:rPr>
          <w:rFonts w:cstheme="minorHAnsi"/>
          <w:sz w:val="24"/>
          <w:szCs w:val="24"/>
        </w:rPr>
        <w:t>checklist of</w:t>
      </w:r>
      <w:r w:rsidR="000201B1" w:rsidRPr="00FD4913">
        <w:rPr>
          <w:rFonts w:cstheme="minorHAnsi"/>
          <w:sz w:val="24"/>
          <w:szCs w:val="24"/>
        </w:rPr>
        <w:t xml:space="preserve"> </w:t>
      </w:r>
      <w:r w:rsidR="000201B1">
        <w:rPr>
          <w:rFonts w:cstheme="minorHAnsi"/>
          <w:sz w:val="24"/>
          <w:szCs w:val="24"/>
        </w:rPr>
        <w:t>the NPDE</w:t>
      </w:r>
      <w:r w:rsidR="00D376BC" w:rsidRPr="00D376BC">
        <w:rPr>
          <w:rFonts w:cstheme="minorHAnsi"/>
          <w:noProof/>
          <w:sz w:val="24"/>
          <w:szCs w:val="24"/>
        </w:rPr>
        <mc:AlternateContent>
          <mc:Choice Requires="wpg">
            <w:drawing>
              <wp:anchor distT="0" distB="0" distL="114300" distR="114300" simplePos="0" relativeHeight="251659264" behindDoc="0" locked="0" layoutInCell="1" allowOverlap="1" wp14:anchorId="373663F9" wp14:editId="5A57539A">
                <wp:simplePos x="0" y="0"/>
                <wp:positionH relativeFrom="margin">
                  <wp:align>left</wp:align>
                </wp:positionH>
                <wp:positionV relativeFrom="margin">
                  <wp:align>top</wp:align>
                </wp:positionV>
                <wp:extent cx="2048256" cy="8229600"/>
                <wp:effectExtent l="0" t="0" r="5715" b="0"/>
                <wp:wrapSquare wrapText="bothSides"/>
                <wp:docPr id="207" name="Group 66" descr="Overview of NPDES permit fact sheets"/>
                <wp:cNvGraphicFramePr/>
                <a:graphic xmlns:a="http://schemas.openxmlformats.org/drawingml/2006/main">
                  <a:graphicData uri="http://schemas.microsoft.com/office/word/2010/wordprocessingGroup">
                    <wpg:wgp>
                      <wpg:cNvGrpSpPr/>
                      <wpg:grpSpPr>
                        <a:xfrm>
                          <a:off x="0" y="0"/>
                          <a:ext cx="2048256" cy="8229600"/>
                          <a:chOff x="0" y="0"/>
                          <a:chExt cx="2048256" cy="8229600"/>
                        </a:xfrm>
                      </wpg:grpSpPr>
                      <wps:wsp>
                        <wps:cNvPr id="208" name="Rectangle 18"/>
                        <wps:cNvSpPr>
                          <a:spLocks noChangeArrowheads="1"/>
                        </wps:cNvSpPr>
                        <wps:spPr bwMode="auto">
                          <a:xfrm>
                            <a:off x="0" y="7400544"/>
                            <a:ext cx="2048256" cy="829056"/>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17"/>
                        <wps:cNvSpPr>
                          <a:spLocks noChangeArrowheads="1"/>
                        </wps:cNvSpPr>
                        <wps:spPr bwMode="auto">
                          <a:xfrm>
                            <a:off x="0" y="0"/>
                            <a:ext cx="2048256" cy="7815072"/>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Text Box 14"/>
                        <wps:cNvSpPr txBox="1">
                          <a:spLocks noChangeArrowheads="1"/>
                        </wps:cNvSpPr>
                        <wps:spPr bwMode="auto">
                          <a:xfrm>
                            <a:off x="146304" y="0"/>
                            <a:ext cx="1780032" cy="82296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7E579" w14:textId="2523F732" w:rsidR="00D376BC" w:rsidRPr="00D376BC" w:rsidRDefault="00D376BC">
                              <w:pPr>
                                <w:rPr>
                                  <w:rFonts w:asciiTheme="majorHAnsi" w:eastAsiaTheme="majorEastAsia" w:hAnsiTheme="majorHAnsi" w:cstheme="majorBidi"/>
                                  <w:b/>
                                  <w:bCs/>
                                  <w:color w:val="FFFFFF" w:themeColor="background1"/>
                                  <w:sz w:val="32"/>
                                  <w:szCs w:val="32"/>
                                </w:rPr>
                              </w:pPr>
                              <w:r w:rsidRPr="00D376BC">
                                <w:rPr>
                                  <w:rFonts w:asciiTheme="majorHAnsi" w:eastAsiaTheme="majorEastAsia" w:hAnsiTheme="majorHAnsi" w:cstheme="majorBidi"/>
                                  <w:b/>
                                  <w:bCs/>
                                  <w:color w:val="FFFFFF" w:themeColor="background1"/>
                                  <w:sz w:val="32"/>
                                  <w:szCs w:val="32"/>
                                </w:rPr>
                                <w:t>Overview:</w:t>
                              </w:r>
                            </w:p>
                            <w:p w14:paraId="0B3F9760" w14:textId="73D2C3A9" w:rsidR="00D376BC" w:rsidRPr="00D376BC" w:rsidRDefault="00D376BC" w:rsidP="00D376BC">
                              <w:pPr>
                                <w:pStyle w:val="NoSpacing"/>
                                <w:rPr>
                                  <w:rFonts w:cstheme="minorHAnsi"/>
                                  <w:b/>
                                  <w:bCs/>
                                  <w:color w:val="FFFFFF" w:themeColor="background1"/>
                                  <w:sz w:val="24"/>
                                  <w:szCs w:val="24"/>
                                </w:rPr>
                              </w:pPr>
                              <w:r w:rsidRPr="00D376BC">
                                <w:rPr>
                                  <w:rFonts w:cstheme="minorHAnsi"/>
                                  <w:b/>
                                  <w:bCs/>
                                  <w:color w:val="FFFFFF" w:themeColor="background1"/>
                                  <w:sz w:val="24"/>
                                  <w:szCs w:val="24"/>
                                </w:rPr>
                                <w:t>National Pollutant Discharge Elimination System (NPDES) permit fact sheets are an essential element of a permit record and a comprehensive source of information from which the permittee, the public, and other interested parties can ascertain the rationale for permit requirements. They should include sufficient and clear details to document that effluent limitations and other permit conditions are appropriate to protect water quality and are consistent with all other statutory and regulatory requirements. The fact sheet supports public participation by providing permittees, stakeholders, and the public with a clear understanding of the basis for permit decisions. Fact sheet requirements for NPDES permits are located primarily in 40 CFR 124.8 and 124.56. The permitting authority must send the fact sheet to the applicant and, upon request, any other person.</w:t>
                              </w:r>
                            </w:p>
                            <w:p w14:paraId="10ED68D8" w14:textId="1576D7C0" w:rsidR="00D376BC" w:rsidRPr="00D376BC" w:rsidRDefault="00D376BC" w:rsidP="00D376BC">
                              <w:pPr>
                                <w:rPr>
                                  <w:color w:val="FFFFFF" w:themeColor="background1"/>
                                </w:rPr>
                              </w:pPr>
                            </w:p>
                          </w:txbxContent>
                        </wps:txbx>
                        <wps:bodyPr rot="0" vert="horz" wrap="square" lIns="91440" tIns="274320" rIns="91440" bIns="45720" anchor="t" anchorCtr="0" upright="1">
                          <a:noAutofit/>
                        </wps:bodyPr>
                      </wps:wsp>
                    </wpg:wgp>
                  </a:graphicData>
                </a:graphic>
                <wp14:sizeRelH relativeFrom="page">
                  <wp14:pctWidth>26400</wp14:pctWidth>
                </wp14:sizeRelH>
                <wp14:sizeRelV relativeFrom="margin">
                  <wp14:pctHeight>100000</wp14:pctHeight>
                </wp14:sizeRelV>
              </wp:anchor>
            </w:drawing>
          </mc:Choice>
          <mc:Fallback>
            <w:pict>
              <v:group w14:anchorId="373663F9" id="Group 66" o:spid="_x0000_s1026" alt="Overview of NPDES permit fact sheets" style="position:absolute;margin-left:0;margin-top:0;width:161.3pt;height:9in;z-index:251659264;mso-width-percent:264;mso-height-percent:1000;mso-position-horizontal:left;mso-position-horizontal-relative:margin;mso-position-vertical:top;mso-position-vertical-relative:margin;mso-width-percent:264;mso-height-percent:1000;mso-height-relative:margin" coordsize="2048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88Z7AIAAPYJAAAOAAAAZHJzL2Uyb0RvYy54bWzsVtty2yAQfe9M/4HhvdElsmVrImfSpMl0&#10;ppdMk34ARugylYACtpR+fRewHTVOpq07yVNfJLHA7tnD2UUnp0PXojVTuhE8x9FRiBHjVBQNr3L8&#10;9fbyzQwjbQgvSCs4y/Ed0/h08frVSS8zFotatAVTCJxwnfUyx7UxMgsCTWvWEX0kJOMwWQrVEQND&#10;VQWFIj1479ogDsNp0AtVSCUo0xqsF34SL5z/smTUfC5LzQxqcwzYjHsq91zaZ7A4IVmliKwbuoFB&#10;DkDRkYZD0J2rC2IIWqlmz1XXUCW0KM0RFV0gyrKhzOUA2UThg2yulFhJl0uV9ZXc0QTUPuDpYLf0&#10;0/pKyRt5rYCJXlbAhRvZXIZSdfYNKNHgKLvbUcYGgygY4zCZxZMpRhTmZnE8n4YbUmkNzO/to/W7&#10;3+wMtoGDX+D0EgSi7znQ/8bBTU0kc9TqDDi4VqgpbDYgV046EOoXkA7hVctQNLMqsfFhoWXKcqLl&#10;B0G/acTFeQ3L2JlSoq8ZKQBXZNcD+tEGO9CwFS37j6IA92RlhBPMoySnSRhOksSr8wmq5yHQbgNt&#10;+SKZVNpcMdEh+5FjBSm4GGT9QRu/dLvE5SDaprhs2tYNbMWx81ahNYFaIZQybqZue7vqALS3w/Fu&#10;DxjM9oTdcsDrzYDG1a715LDpcZCW21Bc2KAej7U4qiw7nuWlKO6AKSV8sUJzgY9aqB8Y9VCoOdbf&#10;V0QxjNr3HNieR0liK9sNkkkaw0CNZ5bjGcIpuMqxwch/nhvfDVZSNVUNkSKXMxdncEJl42izp+dR&#10;bcCCED3WF1Dk/BFFpi+uyE1RP6rFdBZNwjR+PjGawR/KWIiRVdwG1ViJzvRfhaM79K/uhif6YgRF&#10;5fvirZXAWzGgyLWnUZdDZgD7toCeq0FGyfQ4TDDav4qidBaGx/HeVXR4g9w1KpL9Uecyw3KAtnbf&#10;Lg5rYnGaHL9YF3O3LPxcuGa9+RGyfy/jset6979ri58AAAD//wMAUEsDBBQABgAIAAAAIQANJR04&#10;3AAAAAYBAAAPAAAAZHJzL2Rvd25yZXYueG1sTI9BS8NAEIXvgv9hGcGb3TWFaNNsSin0IB6krYLH&#10;bXaaBHdnY3abxn/v6EUvD4b3eO+bcjV5J0YcYhdIw/1MgUCqg+2o0fB62N49gojJkDUuEGr4wgir&#10;6vqqNIUNF9rhuE+N4BKKhdHQptQXUsa6RW/iLPRI7J3C4E3ic2ikHcyFy72TmVK59KYjXmhNj5sW&#10;64/92WvYbR58WKu39/nn1r082XjC51FqfXszrZcgEk7pLww/+IwOFTMdw5lsFE4DP5J+lb15luUg&#10;jhzKFrkCWZXyP371DQAA//8DAFBLAQItABQABgAIAAAAIQC2gziS/gAAAOEBAAATAAAAAAAAAAAA&#10;AAAAAAAAAABbQ29udGVudF9UeXBlc10ueG1sUEsBAi0AFAAGAAgAAAAhADj9If/WAAAAlAEAAAsA&#10;AAAAAAAAAAAAAAAALwEAAF9yZWxzLy5yZWxzUEsBAi0AFAAGAAgAAAAhAN+zzxnsAgAA9gkAAA4A&#10;AAAAAAAAAAAAAAAALgIAAGRycy9lMm9Eb2MueG1sUEsBAi0AFAAGAAgAAAAhAA0lHTjcAAAABgEA&#10;AA8AAAAAAAAAAAAAAAAARgUAAGRycy9kb3ducmV2LnhtbFBLBQYAAAAABAAEAPMAAABPBgAAAAA=&#10;">
                <v:rect id="Rectangle 18" o:spid="_x0000_s1027" style="position:absolute;top:74005;width:20482;height:8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khtwAAAANwAAAAPAAAAZHJzL2Rvd25yZXYueG1sRE9Ni8Iw&#10;EL0L/ocwwt401RWRblMpwqLgSe3F29iMbdlmUpKs7f77zUHw+Hjf2W40nXiS861lBctFAoK4srrl&#10;WkF5/Z5vQfiArLGzTAr+yMMun04yTLUd+EzPS6hFDGGfooImhD6V0lcNGfQL2xNH7mGdwRChq6V2&#10;OMRw08lVkmykwZZjQ4M97Ruqfi6/RsF+s15+Fid25X0I+tYd5La4P5T6mI3FF4hAY3iLX+6jVrBK&#10;4tp4Jh4Bmf8DAAD//wMAUEsBAi0AFAAGAAgAAAAhANvh9svuAAAAhQEAABMAAAAAAAAAAAAAAAAA&#10;AAAAAFtDb250ZW50X1R5cGVzXS54bWxQSwECLQAUAAYACAAAACEAWvQsW78AAAAVAQAACwAAAAAA&#10;AAAAAAAAAAAfAQAAX3JlbHMvLnJlbHNQSwECLQAUAAYACAAAACEAohZIbcAAAADcAAAADwAAAAAA&#10;AAAAAAAAAAAHAgAAZHJzL2Rvd25yZXYueG1sUEsFBgAAAAADAAMAtwAAAPQCAAAAAA==&#10;" fillcolor="#a8d08d [1945]" stroked="f"/>
                <v:rect id="Rectangle 17" o:spid="_x0000_s1028" style="position:absolute;width:20482;height:78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r+wgAAANwAAAAPAAAAZHJzL2Rvd25yZXYueG1sRI9Ba8JA&#10;FITvgv9heYIXaTZGKUnqGmpF8Kq299fsaxKafZtmtxr/vSsIHoeZ+YZZFYNpxZl611hWMI9iEMSl&#10;1Q1XCj5Pu5cUhPPIGlvLpOBKDor1eLTCXNsLH+h89JUIEHY5Kqi973IpXVmTQRfZjjh4P7Y36IPs&#10;K6l7vAS4aWUSx6/SYMNhocaOPmoqf4//RsHSpBvOeLf99sOXLO2C/ohmSk0nw/sbCE+Df4Yf7b1W&#10;kMQZ3M+EIyDXNwAAAP//AwBQSwECLQAUAAYACAAAACEA2+H2y+4AAACFAQAAEwAAAAAAAAAAAAAA&#10;AAAAAAAAW0NvbnRlbnRfVHlwZXNdLnhtbFBLAQItABQABgAIAAAAIQBa9CxbvwAAABUBAAALAAAA&#10;AAAAAAAAAAAAAB8BAABfcmVscy8ucmVsc1BLAQItABQABgAIAAAAIQDUPWr+wgAAANwAAAAPAAAA&#10;AAAAAAAAAAAAAAcCAABkcnMvZG93bnJldi54bWxQSwUGAAAAAAMAAwC3AAAA9gIAAAAA&#10;" fillcolor="black [3213]" stroked="f"/>
                <v:shapetype id="_x0000_t202" coordsize="21600,21600" o:spt="202" path="m,l,21600r21600,l21600,xe">
                  <v:stroke joinstyle="miter"/>
                  <v:path gradientshapeok="t" o:connecttype="rect"/>
                </v:shapetype>
                <v:shape id="Text Box 14" o:spid="_x0000_s1029" type="#_x0000_t202" style="position:absolute;left:1463;width:17800;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EFXwgAAANwAAAAPAAAAZHJzL2Rvd25yZXYueG1sRE/dasIw&#10;FL4f+A7hCN6taRW2Uo0iskFl7GJuD3Bojm2xOSlJWluffrkY7PLj+98dJtOJkZxvLSvIkhQEcWV1&#10;y7WCn+/35xyED8gaO8ukYCYPh/3iaYeFtnf+ovESahFD2BeooAmhL6T0VUMGfWJ74shdrTMYInS1&#10;1A7vMdx0cp2mL9Jgy7GhwZ5ODVW3y2AUdIPZfMrhrczctc7N/Cof549RqdVyOm5BBJrCv/jPXWoF&#10;6yzOj2fiEZD7XwAAAP//AwBQSwECLQAUAAYACAAAACEA2+H2y+4AAACFAQAAEwAAAAAAAAAAAAAA&#10;AAAAAAAAW0NvbnRlbnRfVHlwZXNdLnhtbFBLAQItABQABgAIAAAAIQBa9CxbvwAAABUBAAALAAAA&#10;AAAAAAAAAAAAAB8BAABfcmVscy8ucmVsc1BLAQItABQABgAIAAAAIQC3MEFXwgAAANwAAAAPAAAA&#10;AAAAAAAAAAAAAAcCAABkcnMvZG93bnJldi54bWxQSwUGAAAAAAMAAwC3AAAA9gIAAAAA&#10;" filled="f" fillcolor="white [3212]" stroked="f">
                  <v:textbox inset=",21.6pt">
                    <w:txbxContent>
                      <w:p w14:paraId="5377E579" w14:textId="2523F732" w:rsidR="00D376BC" w:rsidRPr="00D376BC" w:rsidRDefault="00D376BC">
                        <w:pPr>
                          <w:rPr>
                            <w:rFonts w:asciiTheme="majorHAnsi" w:eastAsiaTheme="majorEastAsia" w:hAnsiTheme="majorHAnsi" w:cstheme="majorBidi"/>
                            <w:b/>
                            <w:bCs/>
                            <w:color w:val="FFFFFF" w:themeColor="background1"/>
                            <w:sz w:val="32"/>
                            <w:szCs w:val="32"/>
                          </w:rPr>
                        </w:pPr>
                        <w:r w:rsidRPr="00D376BC">
                          <w:rPr>
                            <w:rFonts w:asciiTheme="majorHAnsi" w:eastAsiaTheme="majorEastAsia" w:hAnsiTheme="majorHAnsi" w:cstheme="majorBidi"/>
                            <w:b/>
                            <w:bCs/>
                            <w:color w:val="FFFFFF" w:themeColor="background1"/>
                            <w:sz w:val="32"/>
                            <w:szCs w:val="32"/>
                          </w:rPr>
                          <w:t>Overview:</w:t>
                        </w:r>
                      </w:p>
                      <w:p w14:paraId="0B3F9760" w14:textId="73D2C3A9" w:rsidR="00D376BC" w:rsidRPr="00D376BC" w:rsidRDefault="00D376BC" w:rsidP="00D376BC">
                        <w:pPr>
                          <w:pStyle w:val="NoSpacing"/>
                          <w:rPr>
                            <w:rFonts w:cstheme="minorHAnsi"/>
                            <w:b/>
                            <w:bCs/>
                            <w:color w:val="FFFFFF" w:themeColor="background1"/>
                            <w:sz w:val="24"/>
                            <w:szCs w:val="24"/>
                          </w:rPr>
                        </w:pPr>
                        <w:r w:rsidRPr="00D376BC">
                          <w:rPr>
                            <w:rFonts w:cstheme="minorHAnsi"/>
                            <w:b/>
                            <w:bCs/>
                            <w:color w:val="FFFFFF" w:themeColor="background1"/>
                            <w:sz w:val="24"/>
                            <w:szCs w:val="24"/>
                          </w:rPr>
                          <w:t>National Pollutant Discharge Elimination System (NPDES) permit fact sheets are an essential element of a permit record and a comprehensive source of information from which the permittee, the public, and other interested parties can ascertain the rationale for permit requirements. They should include sufficient and clear details to document that effluent limitations and other permit conditions are appropriate to protect water quality and are consistent with all other statutory and regulatory requirements. The fact sheet supports public participation by providing permittees, stakeholders, and the public with a clear understanding of the basis for permit decisions. Fact sheet requirements for NPDES permits are located primarily in 40 CFR 124.8 and 124.56. The permitting authority must send the fact sheet to the applicant and, upon request, any other person.</w:t>
                        </w:r>
                      </w:p>
                      <w:p w14:paraId="10ED68D8" w14:textId="1576D7C0" w:rsidR="00D376BC" w:rsidRPr="00D376BC" w:rsidRDefault="00D376BC" w:rsidP="00D376BC">
                        <w:pPr>
                          <w:rPr>
                            <w:color w:val="FFFFFF" w:themeColor="background1"/>
                          </w:rPr>
                        </w:pPr>
                      </w:p>
                    </w:txbxContent>
                  </v:textbox>
                </v:shape>
                <w10:wrap type="square" anchorx="margin" anchory="margin"/>
              </v:group>
            </w:pict>
          </mc:Fallback>
        </mc:AlternateContent>
      </w:r>
      <w:r w:rsidR="000201B1">
        <w:rPr>
          <w:rFonts w:cstheme="minorHAnsi"/>
          <w:sz w:val="24"/>
          <w:szCs w:val="24"/>
        </w:rPr>
        <w:t xml:space="preserve">S fact sheet elements </w:t>
      </w:r>
      <w:r w:rsidR="00F823F5">
        <w:rPr>
          <w:rFonts w:cstheme="minorHAnsi"/>
          <w:sz w:val="24"/>
          <w:szCs w:val="24"/>
        </w:rPr>
        <w:t xml:space="preserve">specified </w:t>
      </w:r>
      <w:r w:rsidR="000201B1">
        <w:rPr>
          <w:rFonts w:cstheme="minorHAnsi"/>
          <w:sz w:val="24"/>
          <w:szCs w:val="24"/>
        </w:rPr>
        <w:t xml:space="preserve">by </w:t>
      </w:r>
      <w:r w:rsidR="006D6D13">
        <w:rPr>
          <w:rFonts w:cstheme="minorHAnsi"/>
          <w:sz w:val="24"/>
          <w:szCs w:val="24"/>
        </w:rPr>
        <w:t>40 CFR</w:t>
      </w:r>
      <w:r w:rsidR="00444A31">
        <w:rPr>
          <w:rFonts w:cstheme="minorHAnsi"/>
          <w:sz w:val="24"/>
          <w:szCs w:val="24"/>
        </w:rPr>
        <w:t xml:space="preserve"> </w:t>
      </w:r>
      <w:r w:rsidR="008D60AE" w:rsidRPr="00276431">
        <w:rPr>
          <w:rFonts w:cstheme="minorHAnsi"/>
          <w:sz w:val="24"/>
          <w:szCs w:val="24"/>
        </w:rPr>
        <w:t>124.8, 124.56, and other NPDES regulations</w:t>
      </w:r>
      <w:r>
        <w:rPr>
          <w:rFonts w:cstheme="minorHAnsi"/>
          <w:sz w:val="24"/>
          <w:szCs w:val="24"/>
        </w:rPr>
        <w:t xml:space="preserve"> is intended </w:t>
      </w:r>
      <w:bookmarkStart w:id="3" w:name="_Hlk188020647"/>
      <w:r>
        <w:rPr>
          <w:rFonts w:cstheme="minorHAnsi"/>
          <w:sz w:val="24"/>
          <w:szCs w:val="24"/>
        </w:rPr>
        <w:t>to assist NPDES permitting authorities</w:t>
      </w:r>
      <w:r w:rsidR="002455B7">
        <w:rPr>
          <w:rFonts w:cstheme="minorHAnsi"/>
          <w:sz w:val="24"/>
          <w:szCs w:val="24"/>
        </w:rPr>
        <w:t xml:space="preserve"> </w:t>
      </w:r>
      <w:r w:rsidR="003B0378">
        <w:rPr>
          <w:rFonts w:cstheme="minorHAnsi"/>
          <w:sz w:val="24"/>
          <w:szCs w:val="24"/>
        </w:rPr>
        <w:t xml:space="preserve">in </w:t>
      </w:r>
      <w:r w:rsidR="002455B7">
        <w:rPr>
          <w:rFonts w:cstheme="minorHAnsi"/>
          <w:sz w:val="24"/>
          <w:szCs w:val="24"/>
        </w:rPr>
        <w:t>develop</w:t>
      </w:r>
      <w:r w:rsidR="003B0378">
        <w:rPr>
          <w:rFonts w:cstheme="minorHAnsi"/>
          <w:sz w:val="24"/>
          <w:szCs w:val="24"/>
        </w:rPr>
        <w:t>ing</w:t>
      </w:r>
      <w:r w:rsidR="002455B7">
        <w:rPr>
          <w:rFonts w:cstheme="minorHAnsi"/>
          <w:sz w:val="24"/>
          <w:szCs w:val="24"/>
        </w:rPr>
        <w:t xml:space="preserve"> comprehensive and complete fact sheets</w:t>
      </w:r>
      <w:bookmarkEnd w:id="3"/>
      <w:r w:rsidR="008D60AE" w:rsidRPr="00276431">
        <w:rPr>
          <w:rFonts w:cstheme="minorHAnsi"/>
          <w:sz w:val="24"/>
          <w:szCs w:val="24"/>
        </w:rPr>
        <w:t xml:space="preserve">. </w:t>
      </w:r>
      <w:r w:rsidR="002455B7">
        <w:rPr>
          <w:rFonts w:cstheme="minorHAnsi"/>
          <w:sz w:val="24"/>
          <w:szCs w:val="24"/>
        </w:rPr>
        <w:t>The checklist</w:t>
      </w:r>
      <w:r w:rsidR="000201B1">
        <w:rPr>
          <w:rFonts w:cstheme="minorHAnsi"/>
          <w:sz w:val="24"/>
          <w:szCs w:val="24"/>
        </w:rPr>
        <w:t xml:space="preserve"> also</w:t>
      </w:r>
      <w:r w:rsidR="008E0C97">
        <w:rPr>
          <w:rFonts w:cstheme="minorHAnsi"/>
          <w:sz w:val="24"/>
          <w:szCs w:val="24"/>
        </w:rPr>
        <w:t xml:space="preserve"> provides recommend</w:t>
      </w:r>
      <w:r w:rsidR="002455B7">
        <w:rPr>
          <w:rFonts w:cstheme="minorHAnsi"/>
          <w:sz w:val="24"/>
          <w:szCs w:val="24"/>
        </w:rPr>
        <w:t>ed</w:t>
      </w:r>
      <w:r w:rsidR="00493050" w:rsidRPr="00493050">
        <w:t xml:space="preserve"> </w:t>
      </w:r>
      <w:r w:rsidR="002455B7">
        <w:t xml:space="preserve">information </w:t>
      </w:r>
      <w:r w:rsidR="008E0C97">
        <w:rPr>
          <w:rFonts w:cstheme="minorHAnsi"/>
          <w:sz w:val="24"/>
          <w:szCs w:val="24"/>
        </w:rPr>
        <w:t xml:space="preserve">that </w:t>
      </w:r>
      <w:r w:rsidR="002455B7">
        <w:rPr>
          <w:rFonts w:cstheme="minorHAnsi"/>
          <w:sz w:val="24"/>
          <w:szCs w:val="24"/>
        </w:rPr>
        <w:t xml:space="preserve">is </w:t>
      </w:r>
      <w:r w:rsidR="00AF00ED">
        <w:rPr>
          <w:rFonts w:cstheme="minorHAnsi"/>
          <w:sz w:val="24"/>
          <w:szCs w:val="24"/>
        </w:rPr>
        <w:t xml:space="preserve">not </w:t>
      </w:r>
      <w:r w:rsidR="002455B7">
        <w:rPr>
          <w:rFonts w:cstheme="minorHAnsi"/>
          <w:sz w:val="24"/>
          <w:szCs w:val="24"/>
        </w:rPr>
        <w:t xml:space="preserve">a </w:t>
      </w:r>
      <w:r w:rsidR="00AF00ED">
        <w:rPr>
          <w:rFonts w:cstheme="minorHAnsi"/>
          <w:sz w:val="24"/>
          <w:szCs w:val="24"/>
        </w:rPr>
        <w:t xml:space="preserve">regulatory </w:t>
      </w:r>
      <w:r w:rsidR="00B61654">
        <w:rPr>
          <w:rFonts w:cstheme="minorHAnsi"/>
          <w:sz w:val="24"/>
          <w:szCs w:val="24"/>
        </w:rPr>
        <w:t>requirement</w:t>
      </w:r>
      <w:r w:rsidR="004570F6">
        <w:rPr>
          <w:rFonts w:cstheme="minorHAnsi"/>
          <w:sz w:val="24"/>
          <w:szCs w:val="24"/>
        </w:rPr>
        <w:t xml:space="preserve"> but which </w:t>
      </w:r>
      <w:r w:rsidR="005C4535">
        <w:rPr>
          <w:rFonts w:cstheme="minorHAnsi"/>
          <w:sz w:val="24"/>
          <w:szCs w:val="24"/>
        </w:rPr>
        <w:t xml:space="preserve">might </w:t>
      </w:r>
      <w:r w:rsidR="008A3405">
        <w:rPr>
          <w:rFonts w:cstheme="minorHAnsi"/>
          <w:sz w:val="24"/>
          <w:szCs w:val="24"/>
        </w:rPr>
        <w:t xml:space="preserve">improve </w:t>
      </w:r>
      <w:r w:rsidR="00B9452C">
        <w:rPr>
          <w:rFonts w:cstheme="minorHAnsi"/>
          <w:sz w:val="24"/>
          <w:szCs w:val="24"/>
        </w:rPr>
        <w:t xml:space="preserve">the clarity </w:t>
      </w:r>
      <w:r w:rsidR="008524D6" w:rsidRPr="008524D6">
        <w:rPr>
          <w:rFonts w:cstheme="minorHAnsi"/>
          <w:sz w:val="24"/>
          <w:szCs w:val="24"/>
        </w:rPr>
        <w:t>and transparency</w:t>
      </w:r>
      <w:r w:rsidR="00B9452C">
        <w:rPr>
          <w:rFonts w:cstheme="minorHAnsi"/>
          <w:sz w:val="24"/>
          <w:szCs w:val="24"/>
        </w:rPr>
        <w:t xml:space="preserve"> of the </w:t>
      </w:r>
      <w:r w:rsidR="00307A25">
        <w:rPr>
          <w:rFonts w:cstheme="minorHAnsi"/>
          <w:sz w:val="24"/>
          <w:szCs w:val="24"/>
        </w:rPr>
        <w:t>fact sheet</w:t>
      </w:r>
      <w:r w:rsidR="00B9452C">
        <w:rPr>
          <w:rFonts w:cstheme="minorHAnsi"/>
          <w:sz w:val="24"/>
          <w:szCs w:val="24"/>
        </w:rPr>
        <w:t xml:space="preserve">. </w:t>
      </w:r>
    </w:p>
    <w:bookmarkEnd w:id="2"/>
    <w:p w14:paraId="6146E55F" w14:textId="3CDF2C8A" w:rsidR="008D60AE" w:rsidRDefault="008D60AE" w:rsidP="00355F1D">
      <w:pPr>
        <w:spacing w:after="0" w:line="240" w:lineRule="auto"/>
        <w:rPr>
          <w:rFonts w:cstheme="minorHAnsi"/>
          <w:sz w:val="24"/>
          <w:szCs w:val="24"/>
        </w:rPr>
      </w:pPr>
    </w:p>
    <w:p w14:paraId="44573A4C" w14:textId="29CF1F37" w:rsidR="00B772DF" w:rsidRDefault="005A18AF" w:rsidP="00D376BC">
      <w:pPr>
        <w:spacing w:after="0" w:line="240" w:lineRule="auto"/>
        <w:rPr>
          <w:sz w:val="24"/>
          <w:szCs w:val="24"/>
        </w:rPr>
      </w:pPr>
      <w:r>
        <w:rPr>
          <w:sz w:val="24"/>
          <w:szCs w:val="24"/>
        </w:rPr>
        <w:t>Th</w:t>
      </w:r>
      <w:r w:rsidR="00CA40F4">
        <w:rPr>
          <w:sz w:val="24"/>
          <w:szCs w:val="24"/>
        </w:rPr>
        <w:t xml:space="preserve">e </w:t>
      </w:r>
      <w:r w:rsidR="00C5458C">
        <w:rPr>
          <w:sz w:val="24"/>
          <w:szCs w:val="24"/>
        </w:rPr>
        <w:t xml:space="preserve">tables below </w:t>
      </w:r>
      <w:r w:rsidR="00767059">
        <w:rPr>
          <w:sz w:val="24"/>
          <w:szCs w:val="24"/>
        </w:rPr>
        <w:t>identif</w:t>
      </w:r>
      <w:r w:rsidR="00C5458C">
        <w:rPr>
          <w:sz w:val="24"/>
          <w:szCs w:val="24"/>
        </w:rPr>
        <w:t>y</w:t>
      </w:r>
      <w:r w:rsidR="00B772DF">
        <w:rPr>
          <w:sz w:val="24"/>
          <w:szCs w:val="24"/>
        </w:rPr>
        <w:t>, under</w:t>
      </w:r>
      <w:r w:rsidR="00C5458C">
        <w:rPr>
          <w:sz w:val="24"/>
          <w:szCs w:val="24"/>
        </w:rPr>
        <w:t xml:space="preserve"> the</w:t>
      </w:r>
      <w:r w:rsidR="00B772DF">
        <w:rPr>
          <w:sz w:val="24"/>
          <w:szCs w:val="24"/>
        </w:rPr>
        <w:t xml:space="preserve"> green headings,</w:t>
      </w:r>
      <w:r w:rsidR="00AB64F6" w:rsidRPr="009D7F95">
        <w:rPr>
          <w:sz w:val="24"/>
          <w:szCs w:val="24"/>
        </w:rPr>
        <w:t xml:space="preserve"> </w:t>
      </w:r>
      <w:r>
        <w:rPr>
          <w:sz w:val="24"/>
          <w:szCs w:val="24"/>
        </w:rPr>
        <w:t xml:space="preserve">fact sheet elements </w:t>
      </w:r>
      <w:r w:rsidR="00355F1D">
        <w:rPr>
          <w:sz w:val="24"/>
          <w:szCs w:val="24"/>
        </w:rPr>
        <w:t xml:space="preserve">specified </w:t>
      </w:r>
      <w:r>
        <w:rPr>
          <w:sz w:val="24"/>
          <w:szCs w:val="24"/>
        </w:rPr>
        <w:t xml:space="preserve">by </w:t>
      </w:r>
      <w:hyperlink r:id="rId8" w:history="1">
        <w:r w:rsidR="009A0B43" w:rsidRPr="00E65828">
          <w:rPr>
            <w:rStyle w:val="Hyperlink"/>
            <w:rFonts w:cstheme="minorHAnsi"/>
            <w:sz w:val="24"/>
            <w:szCs w:val="24"/>
          </w:rPr>
          <w:t xml:space="preserve">40 CFR </w:t>
        </w:r>
        <w:r w:rsidR="004F12A0" w:rsidRPr="00E65828">
          <w:rPr>
            <w:rStyle w:val="Hyperlink"/>
            <w:rFonts w:cstheme="minorHAnsi"/>
            <w:sz w:val="24"/>
            <w:szCs w:val="24"/>
          </w:rPr>
          <w:t>124.8</w:t>
        </w:r>
      </w:hyperlink>
      <w:r w:rsidR="004F12A0">
        <w:rPr>
          <w:rFonts w:cstheme="minorHAnsi"/>
          <w:sz w:val="24"/>
          <w:szCs w:val="24"/>
        </w:rPr>
        <w:t xml:space="preserve">, </w:t>
      </w:r>
      <w:hyperlink r:id="rId9" w:history="1">
        <w:r w:rsidR="004F12A0" w:rsidRPr="00E65828">
          <w:rPr>
            <w:rStyle w:val="Hyperlink"/>
            <w:rFonts w:cstheme="minorHAnsi"/>
            <w:sz w:val="24"/>
            <w:szCs w:val="24"/>
          </w:rPr>
          <w:t>124.56</w:t>
        </w:r>
      </w:hyperlink>
      <w:r w:rsidR="004F12A0">
        <w:rPr>
          <w:rFonts w:cstheme="minorHAnsi"/>
          <w:sz w:val="24"/>
          <w:szCs w:val="24"/>
        </w:rPr>
        <w:t xml:space="preserve">, </w:t>
      </w:r>
      <w:r w:rsidR="00AB64F6" w:rsidRPr="009D7F95">
        <w:rPr>
          <w:sz w:val="24"/>
          <w:szCs w:val="24"/>
        </w:rPr>
        <w:t>and other NPDES regulations</w:t>
      </w:r>
      <w:r w:rsidR="009D7F95" w:rsidRPr="009D7F95">
        <w:rPr>
          <w:sz w:val="24"/>
          <w:szCs w:val="24"/>
        </w:rPr>
        <w:t>.</w:t>
      </w:r>
      <w:r w:rsidR="008943C8">
        <w:rPr>
          <w:sz w:val="24"/>
          <w:szCs w:val="24"/>
        </w:rPr>
        <w:t xml:space="preserve"> Th</w:t>
      </w:r>
      <w:r w:rsidR="00AF4A31">
        <w:rPr>
          <w:sz w:val="24"/>
          <w:szCs w:val="24"/>
        </w:rPr>
        <w:t>ese</w:t>
      </w:r>
      <w:r w:rsidR="008943C8">
        <w:rPr>
          <w:sz w:val="24"/>
          <w:szCs w:val="24"/>
        </w:rPr>
        <w:t xml:space="preserve"> </w:t>
      </w:r>
      <w:r w:rsidR="00AF4A31">
        <w:rPr>
          <w:sz w:val="24"/>
          <w:szCs w:val="24"/>
        </w:rPr>
        <w:t xml:space="preserve">elements </w:t>
      </w:r>
      <w:r w:rsidR="008943C8">
        <w:rPr>
          <w:sz w:val="24"/>
          <w:szCs w:val="24"/>
        </w:rPr>
        <w:t>include</w:t>
      </w:r>
      <w:r w:rsidR="00EB05F7">
        <w:rPr>
          <w:sz w:val="24"/>
          <w:szCs w:val="24"/>
        </w:rPr>
        <w:t xml:space="preserve"> specific </w:t>
      </w:r>
      <w:r w:rsidR="00D32A93">
        <w:rPr>
          <w:sz w:val="24"/>
          <w:szCs w:val="24"/>
        </w:rPr>
        <w:t>explanations</w:t>
      </w:r>
      <w:r w:rsidR="00EB05F7">
        <w:rPr>
          <w:sz w:val="24"/>
          <w:szCs w:val="24"/>
        </w:rPr>
        <w:t xml:space="preserve">, </w:t>
      </w:r>
      <w:r w:rsidR="00F6249E">
        <w:rPr>
          <w:sz w:val="24"/>
          <w:szCs w:val="24"/>
        </w:rPr>
        <w:t xml:space="preserve">calculations, </w:t>
      </w:r>
      <w:r w:rsidR="004A002A">
        <w:rPr>
          <w:sz w:val="24"/>
          <w:szCs w:val="24"/>
        </w:rPr>
        <w:t xml:space="preserve">and </w:t>
      </w:r>
      <w:r w:rsidR="00F6249E">
        <w:rPr>
          <w:sz w:val="24"/>
          <w:szCs w:val="24"/>
        </w:rPr>
        <w:t xml:space="preserve">rationales </w:t>
      </w:r>
      <w:r w:rsidR="00402096">
        <w:rPr>
          <w:sz w:val="24"/>
          <w:szCs w:val="24"/>
        </w:rPr>
        <w:t>based on</w:t>
      </w:r>
      <w:r w:rsidR="001B6A09">
        <w:rPr>
          <w:sz w:val="24"/>
          <w:szCs w:val="24"/>
        </w:rPr>
        <w:t xml:space="preserve"> these regulatory requirements</w:t>
      </w:r>
      <w:r w:rsidR="00402096">
        <w:rPr>
          <w:sz w:val="24"/>
          <w:szCs w:val="24"/>
        </w:rPr>
        <w:t>, which</w:t>
      </w:r>
      <w:r w:rsidR="001B6A09">
        <w:rPr>
          <w:sz w:val="24"/>
          <w:szCs w:val="24"/>
        </w:rPr>
        <w:t xml:space="preserve"> </w:t>
      </w:r>
      <w:r w:rsidR="00EB05F7">
        <w:rPr>
          <w:sz w:val="24"/>
          <w:szCs w:val="24"/>
        </w:rPr>
        <w:t>should be included in the fact sheet</w:t>
      </w:r>
      <w:r w:rsidR="001B6A09">
        <w:rPr>
          <w:sz w:val="24"/>
          <w:szCs w:val="24"/>
        </w:rPr>
        <w:t xml:space="preserve"> </w:t>
      </w:r>
      <w:r w:rsidR="00C0413B">
        <w:rPr>
          <w:sz w:val="24"/>
          <w:szCs w:val="24"/>
        </w:rPr>
        <w:t>given</w:t>
      </w:r>
      <w:r w:rsidR="001B6A09">
        <w:rPr>
          <w:sz w:val="24"/>
          <w:szCs w:val="24"/>
        </w:rPr>
        <w:t xml:space="preserve"> the particular facts of the permit</w:t>
      </w:r>
      <w:r w:rsidR="00C0413B">
        <w:rPr>
          <w:sz w:val="24"/>
          <w:szCs w:val="24"/>
        </w:rPr>
        <w:t xml:space="preserve"> or discharge</w:t>
      </w:r>
      <w:r w:rsidR="00EB05F7">
        <w:rPr>
          <w:sz w:val="24"/>
          <w:szCs w:val="24"/>
        </w:rPr>
        <w:t>.</w:t>
      </w:r>
    </w:p>
    <w:p w14:paraId="55CC80CB" w14:textId="34073FDE" w:rsidR="00B772DF" w:rsidRDefault="00B772DF" w:rsidP="00355F1D">
      <w:pPr>
        <w:pStyle w:val="NoSpacing"/>
        <w:rPr>
          <w:sz w:val="24"/>
          <w:szCs w:val="24"/>
        </w:rPr>
      </w:pPr>
    </w:p>
    <w:p w14:paraId="5A1DB60F" w14:textId="09ED40F9" w:rsidR="00E22BA4" w:rsidRDefault="00E45991" w:rsidP="00355F1D">
      <w:pPr>
        <w:pStyle w:val="NoSpacing"/>
        <w:rPr>
          <w:rStyle w:val="CommentReference"/>
        </w:rPr>
      </w:pPr>
      <w:r>
        <w:rPr>
          <w:sz w:val="24"/>
          <w:szCs w:val="24"/>
        </w:rPr>
        <w:t>The table</w:t>
      </w:r>
      <w:r w:rsidR="00C5458C">
        <w:rPr>
          <w:sz w:val="24"/>
          <w:szCs w:val="24"/>
        </w:rPr>
        <w:t>s</w:t>
      </w:r>
      <w:r>
        <w:rPr>
          <w:sz w:val="24"/>
          <w:szCs w:val="24"/>
        </w:rPr>
        <w:t xml:space="preserve"> also list, under</w:t>
      </w:r>
      <w:r w:rsidR="00C5458C">
        <w:rPr>
          <w:sz w:val="24"/>
          <w:szCs w:val="24"/>
        </w:rPr>
        <w:t xml:space="preserve"> </w:t>
      </w:r>
      <w:r w:rsidR="00C5458C" w:rsidRPr="00754238">
        <w:rPr>
          <w:sz w:val="24"/>
          <w:szCs w:val="24"/>
        </w:rPr>
        <w:t>the</w:t>
      </w:r>
      <w:r w:rsidRPr="00754238">
        <w:rPr>
          <w:sz w:val="24"/>
          <w:szCs w:val="24"/>
        </w:rPr>
        <w:t xml:space="preserve"> gray headings,</w:t>
      </w:r>
      <w:r>
        <w:rPr>
          <w:sz w:val="24"/>
          <w:szCs w:val="24"/>
        </w:rPr>
        <w:t xml:space="preserve"> </w:t>
      </w:r>
      <w:r w:rsidR="001B5B68">
        <w:rPr>
          <w:rFonts w:cstheme="minorHAnsi"/>
          <w:sz w:val="24"/>
          <w:szCs w:val="24"/>
        </w:rPr>
        <w:t xml:space="preserve">other information that </w:t>
      </w:r>
      <w:r w:rsidR="00355F1D">
        <w:rPr>
          <w:rFonts w:cstheme="minorHAnsi"/>
          <w:sz w:val="24"/>
          <w:szCs w:val="24"/>
        </w:rPr>
        <w:t>could</w:t>
      </w:r>
      <w:r w:rsidR="00D60BD7">
        <w:rPr>
          <w:rFonts w:cstheme="minorHAnsi"/>
          <w:sz w:val="24"/>
          <w:szCs w:val="24"/>
        </w:rPr>
        <w:t xml:space="preserve"> </w:t>
      </w:r>
      <w:r w:rsidR="001B5B68">
        <w:rPr>
          <w:rFonts w:cstheme="minorHAnsi"/>
          <w:sz w:val="24"/>
          <w:szCs w:val="24"/>
        </w:rPr>
        <w:t>be included in the fact sheet to enhance</w:t>
      </w:r>
      <w:r w:rsidR="00E670DB">
        <w:rPr>
          <w:rFonts w:cstheme="minorHAnsi"/>
          <w:sz w:val="24"/>
          <w:szCs w:val="24"/>
        </w:rPr>
        <w:t xml:space="preserve"> transparency an</w:t>
      </w:r>
      <w:r w:rsidR="00831D27">
        <w:rPr>
          <w:rFonts w:cstheme="minorHAnsi"/>
          <w:sz w:val="24"/>
          <w:szCs w:val="24"/>
        </w:rPr>
        <w:t>d</w:t>
      </w:r>
      <w:r w:rsidR="001B5B68">
        <w:rPr>
          <w:rFonts w:cstheme="minorHAnsi"/>
          <w:sz w:val="24"/>
          <w:szCs w:val="24"/>
        </w:rPr>
        <w:t xml:space="preserve"> the permittee’s and the public’s understanding of the basis of the draft permit. </w:t>
      </w:r>
      <w:r w:rsidR="00E22BA4">
        <w:rPr>
          <w:rFonts w:cstheme="minorHAnsi"/>
          <w:sz w:val="24"/>
          <w:szCs w:val="24"/>
        </w:rPr>
        <w:t xml:space="preserve">Some of these recommendations </w:t>
      </w:r>
      <w:r w:rsidR="00D60BD7">
        <w:rPr>
          <w:rFonts w:cstheme="minorHAnsi"/>
          <w:sz w:val="24"/>
          <w:szCs w:val="24"/>
        </w:rPr>
        <w:t>might</w:t>
      </w:r>
      <w:r w:rsidR="00E22BA4">
        <w:rPr>
          <w:rFonts w:cstheme="minorHAnsi"/>
          <w:sz w:val="24"/>
          <w:szCs w:val="24"/>
        </w:rPr>
        <w:t xml:space="preserve"> be broadly applicable</w:t>
      </w:r>
      <w:r w:rsidR="003A0B41">
        <w:rPr>
          <w:rFonts w:cstheme="minorHAnsi"/>
          <w:sz w:val="24"/>
          <w:szCs w:val="24"/>
        </w:rPr>
        <w:t>, while</w:t>
      </w:r>
      <w:r w:rsidR="00E22BA4">
        <w:rPr>
          <w:rFonts w:cstheme="minorHAnsi"/>
          <w:sz w:val="24"/>
          <w:szCs w:val="24"/>
        </w:rPr>
        <w:t xml:space="preserve"> others might depend on the specific circumstances of a permit </w:t>
      </w:r>
      <w:r w:rsidR="00714A27">
        <w:rPr>
          <w:rFonts w:cstheme="minorHAnsi"/>
          <w:sz w:val="24"/>
          <w:szCs w:val="24"/>
        </w:rPr>
        <w:t>action</w:t>
      </w:r>
      <w:r w:rsidR="00E22BA4">
        <w:rPr>
          <w:rFonts w:cstheme="minorHAnsi"/>
          <w:sz w:val="24"/>
          <w:szCs w:val="24"/>
        </w:rPr>
        <w:t>.</w:t>
      </w:r>
      <w:r w:rsidR="00E22BA4">
        <w:rPr>
          <w:rStyle w:val="CommentReference"/>
        </w:rPr>
        <w:t xml:space="preserve"> </w:t>
      </w:r>
    </w:p>
    <w:p w14:paraId="13041D18" w14:textId="77777777" w:rsidR="00D60BD7" w:rsidRDefault="00D60BD7" w:rsidP="00355F1D">
      <w:pPr>
        <w:pStyle w:val="NoSpacing"/>
        <w:rPr>
          <w:rStyle w:val="CommentReference"/>
        </w:rPr>
      </w:pPr>
    </w:p>
    <w:p w14:paraId="4D9350F4" w14:textId="34C2A118" w:rsidR="00D60BD7" w:rsidRDefault="00D60BD7" w:rsidP="00355F1D">
      <w:pPr>
        <w:pStyle w:val="NoSpacing"/>
        <w:rPr>
          <w:rFonts w:cstheme="minorHAnsi"/>
          <w:sz w:val="24"/>
          <w:szCs w:val="24"/>
        </w:rPr>
      </w:pPr>
      <w:r>
        <w:rPr>
          <w:rFonts w:cstheme="minorHAnsi"/>
          <w:sz w:val="24"/>
          <w:szCs w:val="24"/>
        </w:rPr>
        <w:t xml:space="preserve">The tables list the regulatory requirements and other recommendations in as much detail as possible, providing cross-references to the </w:t>
      </w:r>
      <w:r w:rsidR="005B0BE2" w:rsidRPr="005B0BE2">
        <w:rPr>
          <w:rFonts w:cstheme="minorHAnsi"/>
          <w:i/>
          <w:iCs/>
          <w:sz w:val="24"/>
          <w:szCs w:val="24"/>
        </w:rPr>
        <w:t>Code of Federal Regulations</w:t>
      </w:r>
      <w:r w:rsidR="005B0BE2">
        <w:rPr>
          <w:rFonts w:cstheme="minorHAnsi"/>
          <w:sz w:val="24"/>
          <w:szCs w:val="24"/>
        </w:rPr>
        <w:t xml:space="preserve"> </w:t>
      </w:r>
      <w:r w:rsidR="00C0413B">
        <w:rPr>
          <w:rFonts w:cstheme="minorHAnsi"/>
          <w:sz w:val="24"/>
          <w:szCs w:val="24"/>
        </w:rPr>
        <w:t>where appropriate</w:t>
      </w:r>
      <w:r>
        <w:rPr>
          <w:rFonts w:cstheme="minorHAnsi"/>
          <w:sz w:val="24"/>
          <w:szCs w:val="24"/>
        </w:rPr>
        <w:t xml:space="preserve">. It is important to note that certain regulatory requirements are overarching and pertain to many of the </w:t>
      </w:r>
      <w:r w:rsidR="00C0413B">
        <w:rPr>
          <w:rFonts w:cstheme="minorHAnsi"/>
          <w:sz w:val="24"/>
          <w:szCs w:val="24"/>
        </w:rPr>
        <w:t xml:space="preserve">elements </w:t>
      </w:r>
      <w:r>
        <w:rPr>
          <w:rFonts w:cstheme="minorHAnsi"/>
          <w:sz w:val="24"/>
          <w:szCs w:val="24"/>
        </w:rPr>
        <w:t>listed. Where a</w:t>
      </w:r>
      <w:r w:rsidR="00C0413B">
        <w:rPr>
          <w:rFonts w:cstheme="minorHAnsi"/>
          <w:sz w:val="24"/>
          <w:szCs w:val="24"/>
        </w:rPr>
        <w:t>n element</w:t>
      </w:r>
      <w:r>
        <w:rPr>
          <w:rFonts w:cstheme="minorHAnsi"/>
          <w:sz w:val="24"/>
          <w:szCs w:val="24"/>
        </w:rPr>
        <w:t xml:space="preserve"> is accompanied by a specific regulatory citation, it might also be covered by one of the following three general requirements:</w:t>
      </w:r>
    </w:p>
    <w:p w14:paraId="304402B1" w14:textId="77777777" w:rsidR="00F06A2D" w:rsidRDefault="00F06A2D" w:rsidP="00E22BA4">
      <w:pPr>
        <w:pStyle w:val="NoSpacing"/>
      </w:pPr>
    </w:p>
    <w:tbl>
      <w:tblPr>
        <w:tblStyle w:val="TableGrid"/>
        <w:tblpPr w:leftFromText="180" w:rightFromText="180" w:vertAnchor="text" w:horzAnchor="page" w:tblpX="4201" w:tblpY="188"/>
        <w:tblW w:w="0" w:type="auto"/>
        <w:tblLook w:val="04A0" w:firstRow="1" w:lastRow="0" w:firstColumn="1" w:lastColumn="0" w:noHBand="0" w:noVBand="1"/>
      </w:tblPr>
      <w:tblGrid>
        <w:gridCol w:w="5395"/>
        <w:gridCol w:w="1890"/>
      </w:tblGrid>
      <w:tr w:rsidR="00D376BC" w14:paraId="432FA4A2" w14:textId="77777777" w:rsidTr="00D376BC">
        <w:trPr>
          <w:trHeight w:val="263"/>
        </w:trPr>
        <w:tc>
          <w:tcPr>
            <w:tcW w:w="5395" w:type="dxa"/>
            <w:tcBorders>
              <w:right w:val="dashed" w:sz="4" w:space="0" w:color="auto"/>
            </w:tcBorders>
            <w:shd w:val="clear" w:color="auto" w:fill="FFFFFF" w:themeFill="background1"/>
            <w:vAlign w:val="center"/>
          </w:tcPr>
          <w:p w14:paraId="12C56305" w14:textId="77777777" w:rsidR="00D376BC" w:rsidRPr="00A468EB" w:rsidRDefault="002E7B5B" w:rsidP="00D376BC">
            <w:pPr>
              <w:pStyle w:val="NoSpacing"/>
              <w:ind w:left="240" w:hanging="240"/>
            </w:pPr>
            <w:sdt>
              <w:sdtPr>
                <w:id w:val="1407882511"/>
                <w14:checkbox>
                  <w14:checked w14:val="0"/>
                  <w14:checkedState w14:val="2612" w14:font="MS Gothic"/>
                  <w14:uncheckedState w14:val="2610" w14:font="MS Gothic"/>
                </w14:checkbox>
              </w:sdtPr>
              <w:sdtEndPr/>
              <w:sdtContent>
                <w:r w:rsidR="00D376BC">
                  <w:rPr>
                    <w:rFonts w:ascii="MS Gothic" w:eastAsia="MS Gothic" w:hAnsi="MS Gothic" w:hint="eastAsia"/>
                  </w:rPr>
                  <w:t>☐</w:t>
                </w:r>
              </w:sdtContent>
            </w:sdt>
            <w:r w:rsidR="00D376BC">
              <w:t xml:space="preserve"> A brief description of t</w:t>
            </w:r>
            <w:r w:rsidR="00D376BC" w:rsidRPr="00306E4E">
              <w:t>he principal facts and the significant factual, legal, methodological and policy questions considered in preparing the draft permit.</w:t>
            </w:r>
          </w:p>
        </w:tc>
        <w:tc>
          <w:tcPr>
            <w:tcW w:w="1890" w:type="dxa"/>
            <w:tcBorders>
              <w:left w:val="dashed" w:sz="4" w:space="0" w:color="auto"/>
            </w:tcBorders>
            <w:shd w:val="clear" w:color="auto" w:fill="FFFFFF" w:themeFill="background1"/>
            <w:vAlign w:val="center"/>
          </w:tcPr>
          <w:p w14:paraId="39747169" w14:textId="77777777" w:rsidR="00D376BC" w:rsidRDefault="002E7B5B" w:rsidP="00D376BC">
            <w:pPr>
              <w:pStyle w:val="NoSpacing"/>
              <w:rPr>
                <w:b/>
                <w:bCs/>
              </w:rPr>
            </w:pPr>
            <w:hyperlink r:id="rId10" w:anchor="p-124.8(a)" w:history="1">
              <w:r w:rsidR="00D376BC">
                <w:rPr>
                  <w:rStyle w:val="Hyperlink"/>
                  <w:rFonts w:cstheme="minorHAnsi"/>
                </w:rPr>
                <w:t>§</w:t>
              </w:r>
              <w:r w:rsidR="00D376BC">
                <w:rPr>
                  <w:rStyle w:val="Hyperlink"/>
                </w:rPr>
                <w:t>1</w:t>
              </w:r>
              <w:r w:rsidR="00D376BC" w:rsidRPr="008274EF">
                <w:rPr>
                  <w:rStyle w:val="Hyperlink"/>
                </w:rPr>
                <w:t>24.8(a)</w:t>
              </w:r>
            </w:hyperlink>
          </w:p>
        </w:tc>
      </w:tr>
      <w:tr w:rsidR="00D376BC" w:rsidRPr="00A468EB" w14:paraId="4BB32EFC" w14:textId="77777777" w:rsidTr="00D376BC">
        <w:trPr>
          <w:trHeight w:val="526"/>
        </w:trPr>
        <w:tc>
          <w:tcPr>
            <w:tcW w:w="5395" w:type="dxa"/>
            <w:tcBorders>
              <w:right w:val="dashed" w:sz="4" w:space="0" w:color="auto"/>
            </w:tcBorders>
            <w:shd w:val="clear" w:color="auto" w:fill="FFFFFF" w:themeFill="background1"/>
            <w:vAlign w:val="center"/>
          </w:tcPr>
          <w:p w14:paraId="15CBAC60" w14:textId="77777777" w:rsidR="00D376BC" w:rsidRDefault="002E7B5B" w:rsidP="00D376BC">
            <w:pPr>
              <w:pStyle w:val="NoSpacing"/>
              <w:ind w:left="240" w:hanging="240"/>
            </w:pPr>
            <w:sdt>
              <w:sdtPr>
                <w:id w:val="-1093699197"/>
                <w14:checkbox>
                  <w14:checked w14:val="0"/>
                  <w14:checkedState w14:val="2612" w14:font="MS Gothic"/>
                  <w14:uncheckedState w14:val="2610" w14:font="MS Gothic"/>
                </w14:checkbox>
              </w:sdtPr>
              <w:sdtEndPr/>
              <w:sdtContent>
                <w:r w:rsidR="00D376BC">
                  <w:rPr>
                    <w:rFonts w:ascii="MS Gothic" w:eastAsia="MS Gothic" w:hAnsi="MS Gothic" w:hint="eastAsia"/>
                  </w:rPr>
                  <w:t>☐</w:t>
                </w:r>
              </w:sdtContent>
            </w:sdt>
            <w:r w:rsidR="00D376BC">
              <w:t xml:space="preserve"> </w:t>
            </w:r>
            <w:r w:rsidR="00D376BC" w:rsidRPr="00285A1D">
              <w:t xml:space="preserve">A brief summary of the basis of the draft permit conditions including references to applicable statutory or regulatory provisions and </w:t>
            </w:r>
            <w:r w:rsidR="00D376BC">
              <w:t xml:space="preserve">(for EPA-issued permits) </w:t>
            </w:r>
            <w:r w:rsidR="00D376BC" w:rsidRPr="00285A1D">
              <w:t xml:space="preserve">appropriate supporting references to the administrative record required by </w:t>
            </w:r>
            <w:hyperlink r:id="rId11" w:history="1">
              <w:r w:rsidR="00D376BC" w:rsidRPr="009973EB">
                <w:rPr>
                  <w:rStyle w:val="Hyperlink"/>
                </w:rPr>
                <w:t>40 CFR 124.9</w:t>
              </w:r>
            </w:hyperlink>
            <w:r w:rsidR="00D376BC" w:rsidRPr="00285A1D">
              <w:t>.</w:t>
            </w:r>
          </w:p>
        </w:tc>
        <w:tc>
          <w:tcPr>
            <w:tcW w:w="1890" w:type="dxa"/>
            <w:tcBorders>
              <w:left w:val="dashed" w:sz="4" w:space="0" w:color="auto"/>
            </w:tcBorders>
            <w:shd w:val="clear" w:color="auto" w:fill="FFFFFF" w:themeFill="background1"/>
            <w:vAlign w:val="center"/>
          </w:tcPr>
          <w:p w14:paraId="41A0AA54" w14:textId="77777777" w:rsidR="00D376BC" w:rsidRPr="00A468EB" w:rsidRDefault="002E7B5B" w:rsidP="00D376BC">
            <w:pPr>
              <w:pStyle w:val="NoSpacing"/>
            </w:pPr>
            <w:hyperlink r:id="rId12" w:anchor="p-124.8(b)(4)" w:history="1">
              <w:r w:rsidR="00D376BC" w:rsidRPr="008274EF">
                <w:rPr>
                  <w:rStyle w:val="Hyperlink"/>
                  <w:rFonts w:cstheme="minorHAnsi"/>
                </w:rPr>
                <w:t>§</w:t>
              </w:r>
              <w:r w:rsidR="00D376BC" w:rsidRPr="008274EF">
                <w:rPr>
                  <w:rStyle w:val="Hyperlink"/>
                </w:rPr>
                <w:t>124.8(b)(4)</w:t>
              </w:r>
            </w:hyperlink>
          </w:p>
        </w:tc>
      </w:tr>
      <w:tr w:rsidR="00D376BC" w:rsidRPr="00A468EB" w14:paraId="009B3642" w14:textId="77777777" w:rsidTr="00D376BC">
        <w:trPr>
          <w:trHeight w:val="777"/>
        </w:trPr>
        <w:tc>
          <w:tcPr>
            <w:tcW w:w="5395" w:type="dxa"/>
            <w:tcBorders>
              <w:right w:val="dashed" w:sz="4" w:space="0" w:color="auto"/>
            </w:tcBorders>
            <w:shd w:val="clear" w:color="auto" w:fill="FFFFFF" w:themeFill="background1"/>
            <w:vAlign w:val="center"/>
          </w:tcPr>
          <w:p w14:paraId="341E448D" w14:textId="77777777" w:rsidR="00D376BC" w:rsidRDefault="002E7B5B" w:rsidP="00D376BC">
            <w:pPr>
              <w:pStyle w:val="NoSpacing"/>
              <w:ind w:left="240" w:hanging="240"/>
            </w:pPr>
            <w:sdt>
              <w:sdtPr>
                <w:id w:val="1215242407"/>
                <w14:checkbox>
                  <w14:checked w14:val="0"/>
                  <w14:checkedState w14:val="2612" w14:font="MS Gothic"/>
                  <w14:uncheckedState w14:val="2610" w14:font="MS Gothic"/>
                </w14:checkbox>
              </w:sdtPr>
              <w:sdtEndPr/>
              <w:sdtContent>
                <w:r w:rsidR="00D376BC">
                  <w:rPr>
                    <w:rFonts w:ascii="MS Gothic" w:eastAsia="MS Gothic" w:hAnsi="MS Gothic" w:hint="eastAsia"/>
                  </w:rPr>
                  <w:t>☐</w:t>
                </w:r>
              </w:sdtContent>
            </w:sdt>
            <w:r w:rsidR="00D376BC">
              <w:t xml:space="preserve"> </w:t>
            </w:r>
            <w:r w:rsidR="00D376BC" w:rsidRPr="00EB5418">
              <w:t xml:space="preserve">Any calculations or other necessary explanation of the derivation of specific effluent limitations and conditions or standards for sewage sludge use or disposal, including a citation to the applicable </w:t>
            </w:r>
            <w:r w:rsidR="00D376BC">
              <w:t>effluent limitations guideline (ELG)</w:t>
            </w:r>
            <w:r w:rsidR="00D376BC" w:rsidRPr="00EB5418">
              <w:t>,</w:t>
            </w:r>
            <w:r w:rsidR="00D376BC">
              <w:rPr>
                <w:rStyle w:val="EndnoteReference"/>
              </w:rPr>
              <w:endnoteReference w:id="2"/>
            </w:r>
            <w:r w:rsidR="00D376BC" w:rsidRPr="00EB5418">
              <w:t xml:space="preserve"> performance standard, or standard for sewage sludge use or disposal as required by </w:t>
            </w:r>
            <w:hyperlink r:id="rId13" w:history="1">
              <w:r w:rsidR="00D376BC">
                <w:rPr>
                  <w:rStyle w:val="Hyperlink"/>
                </w:rPr>
                <w:t xml:space="preserve">40 CFR </w:t>
              </w:r>
              <w:r w:rsidR="00D376BC" w:rsidRPr="00C70F6D">
                <w:rPr>
                  <w:rStyle w:val="Hyperlink"/>
                </w:rPr>
                <w:t>122.44</w:t>
              </w:r>
            </w:hyperlink>
            <w:r w:rsidR="00D376BC" w:rsidRPr="00EB5418">
              <w:t xml:space="preserve"> and reasons why they are applicable or an explanation of how the alternate effluent limitations were developed.</w:t>
            </w:r>
          </w:p>
        </w:tc>
        <w:tc>
          <w:tcPr>
            <w:tcW w:w="1890" w:type="dxa"/>
            <w:tcBorders>
              <w:left w:val="dashed" w:sz="4" w:space="0" w:color="auto"/>
            </w:tcBorders>
            <w:shd w:val="clear" w:color="auto" w:fill="FFFFFF" w:themeFill="background1"/>
            <w:vAlign w:val="center"/>
          </w:tcPr>
          <w:p w14:paraId="0838A83F" w14:textId="77777777" w:rsidR="00D376BC" w:rsidRPr="0028337C" w:rsidRDefault="002E7B5B" w:rsidP="00D376BC">
            <w:pPr>
              <w:pStyle w:val="NoSpacing"/>
            </w:pPr>
            <w:hyperlink r:id="rId14" w:anchor=":~:text=Any%20calculations%20or,limitations%20were%20developed." w:history="1">
              <w:r w:rsidR="00D376BC" w:rsidRPr="0028337C">
                <w:rPr>
                  <w:rStyle w:val="Hyperlink"/>
                </w:rPr>
                <w:t>§124.56(a)</w:t>
              </w:r>
            </w:hyperlink>
          </w:p>
        </w:tc>
      </w:tr>
    </w:tbl>
    <w:p w14:paraId="660AD2E2" w14:textId="77777777" w:rsidR="00962EF8" w:rsidRDefault="00962EF8" w:rsidP="00D376BC">
      <w:pPr>
        <w:ind w:firstLine="720"/>
      </w:pPr>
    </w:p>
    <w:p w14:paraId="569B3A7B" w14:textId="77777777" w:rsidR="00C350A0" w:rsidRDefault="00C350A0">
      <w:r>
        <w:br w:type="page"/>
      </w:r>
    </w:p>
    <w:tbl>
      <w:tblPr>
        <w:tblStyle w:val="TableGrid"/>
        <w:tblW w:w="0" w:type="auto"/>
        <w:tblLook w:val="04A0" w:firstRow="1" w:lastRow="0" w:firstColumn="1" w:lastColumn="0" w:noHBand="0" w:noVBand="1"/>
      </w:tblPr>
      <w:tblGrid>
        <w:gridCol w:w="7560"/>
        <w:gridCol w:w="3060"/>
      </w:tblGrid>
      <w:tr w:rsidR="00E51635" w:rsidRPr="00540084" w14:paraId="180E2901" w14:textId="77777777" w:rsidTr="00BB1B7F">
        <w:tc>
          <w:tcPr>
            <w:tcW w:w="10620" w:type="dxa"/>
            <w:gridSpan w:val="2"/>
            <w:tcBorders>
              <w:top w:val="nil"/>
              <w:left w:val="nil"/>
              <w:bottom w:val="single" w:sz="4" w:space="0" w:color="auto"/>
              <w:right w:val="nil"/>
            </w:tcBorders>
            <w:vAlign w:val="center"/>
          </w:tcPr>
          <w:p w14:paraId="1653631E" w14:textId="0BC9C51A" w:rsidR="00E51635" w:rsidRPr="00540084" w:rsidRDefault="00E51635" w:rsidP="00E51635">
            <w:pPr>
              <w:pStyle w:val="NoSpacing"/>
              <w:rPr>
                <w:b/>
                <w:bCs/>
                <w:sz w:val="24"/>
                <w:szCs w:val="24"/>
              </w:rPr>
            </w:pPr>
            <w:r>
              <w:rPr>
                <w:b/>
                <w:bCs/>
                <w:sz w:val="24"/>
                <w:szCs w:val="24"/>
              </w:rPr>
              <w:lastRenderedPageBreak/>
              <w:t xml:space="preserve">1. </w:t>
            </w:r>
            <w:r w:rsidRPr="00540084">
              <w:rPr>
                <w:b/>
                <w:bCs/>
                <w:sz w:val="24"/>
                <w:szCs w:val="24"/>
              </w:rPr>
              <w:t>General Information</w:t>
            </w:r>
            <w:r>
              <w:rPr>
                <w:b/>
                <w:bCs/>
                <w:sz w:val="24"/>
                <w:szCs w:val="24"/>
              </w:rPr>
              <w:t xml:space="preserve"> on the Facility and Receiving Water</w:t>
            </w:r>
          </w:p>
        </w:tc>
      </w:tr>
      <w:tr w:rsidR="00E51635" w14:paraId="467813F2" w14:textId="77777777" w:rsidTr="00BB1B7F">
        <w:tc>
          <w:tcPr>
            <w:tcW w:w="10620" w:type="dxa"/>
            <w:gridSpan w:val="2"/>
            <w:tcBorders>
              <w:top w:val="single" w:sz="4" w:space="0" w:color="auto"/>
              <w:bottom w:val="single" w:sz="4" w:space="0" w:color="auto"/>
            </w:tcBorders>
            <w:shd w:val="clear" w:color="auto" w:fill="A8D08D" w:themeFill="accent6" w:themeFillTint="99"/>
            <w:vAlign w:val="center"/>
          </w:tcPr>
          <w:p w14:paraId="7247C5B1" w14:textId="26C63A5E" w:rsidR="00E51635" w:rsidRDefault="00E51635" w:rsidP="00E51635">
            <w:pPr>
              <w:pStyle w:val="NoSpacing"/>
              <w:rPr>
                <w:b/>
                <w:bCs/>
              </w:rPr>
            </w:pPr>
            <w:r>
              <w:rPr>
                <w:b/>
                <w:bCs/>
              </w:rPr>
              <w:t>Regulatory Requirements</w:t>
            </w:r>
            <w:r>
              <w:t xml:space="preserve"> </w:t>
            </w:r>
            <w:r w:rsidR="00077C8F">
              <w:rPr>
                <w:b/>
                <w:bCs/>
              </w:rPr>
              <w:t>Regarding</w:t>
            </w:r>
            <w:r w:rsidRPr="00480E10">
              <w:rPr>
                <w:b/>
                <w:bCs/>
              </w:rPr>
              <w:t xml:space="preserve"> the Facility and Receiving Water</w:t>
            </w:r>
            <w:r w:rsidRPr="00A468EB">
              <w:t>:</w:t>
            </w:r>
          </w:p>
        </w:tc>
      </w:tr>
      <w:tr w:rsidR="00E51635" w14:paraId="4EAFCC6F" w14:textId="77777777" w:rsidTr="00BB1B7F">
        <w:tc>
          <w:tcPr>
            <w:tcW w:w="7560" w:type="dxa"/>
            <w:tcBorders>
              <w:right w:val="dashed" w:sz="4" w:space="0" w:color="auto"/>
            </w:tcBorders>
            <w:shd w:val="clear" w:color="auto" w:fill="FFFFFF" w:themeFill="background1"/>
            <w:vAlign w:val="center"/>
          </w:tcPr>
          <w:p w14:paraId="07A1F7B8" w14:textId="5D7F987D" w:rsidR="00E51635" w:rsidRPr="00A468EB" w:rsidRDefault="002E7B5B" w:rsidP="00E51635">
            <w:pPr>
              <w:pStyle w:val="NoSpacing"/>
              <w:ind w:left="240" w:hanging="240"/>
            </w:pPr>
            <w:sdt>
              <w:sdtPr>
                <w:id w:val="-1093624222"/>
                <w14:checkbox>
                  <w14:checked w14:val="0"/>
                  <w14:checkedState w14:val="2612" w14:font="MS Gothic"/>
                  <w14:uncheckedState w14:val="2610" w14:font="MS Gothic"/>
                </w14:checkbox>
              </w:sdtPr>
              <w:sdtEndPr/>
              <w:sdtContent>
                <w:r w:rsidR="00E51635">
                  <w:rPr>
                    <w:rFonts w:ascii="MS Gothic" w:eastAsia="MS Gothic" w:hAnsi="MS Gothic" w:hint="eastAsia"/>
                  </w:rPr>
                  <w:t>☐</w:t>
                </w:r>
              </w:sdtContent>
            </w:sdt>
            <w:r w:rsidR="00E51635">
              <w:t xml:space="preserve"> </w:t>
            </w:r>
            <w:r w:rsidR="00E51635" w:rsidRPr="00B112F2">
              <w:t>A brief description</w:t>
            </w:r>
            <w:r w:rsidR="00E51635">
              <w:t xml:space="preserve"> of t</w:t>
            </w:r>
            <w:r w:rsidR="00E51635" w:rsidRPr="00A468EB">
              <w:t>he type of permitted facility or activity</w:t>
            </w:r>
            <w:r w:rsidR="00E51635">
              <w:t>.</w:t>
            </w:r>
          </w:p>
        </w:tc>
        <w:tc>
          <w:tcPr>
            <w:tcW w:w="3060" w:type="dxa"/>
            <w:tcBorders>
              <w:left w:val="dashed" w:sz="4" w:space="0" w:color="auto"/>
            </w:tcBorders>
            <w:shd w:val="clear" w:color="auto" w:fill="FFFFFF" w:themeFill="background1"/>
            <w:vAlign w:val="center"/>
          </w:tcPr>
          <w:p w14:paraId="6BA90849" w14:textId="358C2419" w:rsidR="00E51635" w:rsidRDefault="002E7B5B" w:rsidP="00E51635">
            <w:pPr>
              <w:pStyle w:val="NoSpacing"/>
              <w:rPr>
                <w:b/>
                <w:bCs/>
              </w:rPr>
            </w:pPr>
            <w:hyperlink r:id="rId15" w:anchor=":~:text=(1),the%20draft%20permit%3B" w:history="1">
              <w:r w:rsidR="00E51635" w:rsidRPr="00C02C21">
                <w:rPr>
                  <w:rStyle w:val="Hyperlink"/>
                </w:rPr>
                <w:t>§124.8(b)(1)</w:t>
              </w:r>
            </w:hyperlink>
          </w:p>
        </w:tc>
      </w:tr>
      <w:tr w:rsidR="00E51635" w14:paraId="5ECB07D9" w14:textId="77777777" w:rsidTr="00BB1B7F">
        <w:tc>
          <w:tcPr>
            <w:tcW w:w="7560" w:type="dxa"/>
            <w:tcBorders>
              <w:right w:val="dashed" w:sz="4" w:space="0" w:color="auto"/>
            </w:tcBorders>
            <w:shd w:val="clear" w:color="auto" w:fill="FFFFFF" w:themeFill="background1"/>
            <w:vAlign w:val="center"/>
          </w:tcPr>
          <w:p w14:paraId="4942982A" w14:textId="55AA3B3B" w:rsidR="00E51635" w:rsidRDefault="002E7B5B" w:rsidP="00E51635">
            <w:pPr>
              <w:pStyle w:val="NoSpacing"/>
              <w:ind w:left="255" w:hanging="255"/>
            </w:pPr>
            <w:sdt>
              <w:sdtPr>
                <w:id w:val="-1701464832"/>
                <w14:checkbox>
                  <w14:checked w14:val="0"/>
                  <w14:checkedState w14:val="2612" w14:font="MS Gothic"/>
                  <w14:uncheckedState w14:val="2610" w14:font="MS Gothic"/>
                </w14:checkbox>
              </w:sdtPr>
              <w:sdtEndPr/>
              <w:sdtContent>
                <w:r w:rsidR="00E51635">
                  <w:rPr>
                    <w:rFonts w:ascii="MS Gothic" w:eastAsia="MS Gothic" w:hAnsi="MS Gothic" w:hint="eastAsia"/>
                  </w:rPr>
                  <w:t>☐</w:t>
                </w:r>
              </w:sdtContent>
            </w:sdt>
            <w:r w:rsidR="00E51635">
              <w:t xml:space="preserve"> </w:t>
            </w:r>
            <w:r w:rsidR="00E51635" w:rsidRPr="00A468EB">
              <w:t>The type and quantity of pollutants which are proposed to be or are being treated or discharged</w:t>
            </w:r>
            <w:r w:rsidR="00E51635">
              <w:t>.</w:t>
            </w:r>
          </w:p>
        </w:tc>
        <w:tc>
          <w:tcPr>
            <w:tcW w:w="3060" w:type="dxa"/>
            <w:tcBorders>
              <w:left w:val="dashed" w:sz="4" w:space="0" w:color="auto"/>
            </w:tcBorders>
            <w:shd w:val="clear" w:color="auto" w:fill="FFFFFF" w:themeFill="background1"/>
            <w:vAlign w:val="center"/>
          </w:tcPr>
          <w:p w14:paraId="1AD454EF" w14:textId="253C3AD9" w:rsidR="00E51635" w:rsidRPr="00A468EB" w:rsidRDefault="002E7B5B" w:rsidP="00E51635">
            <w:pPr>
              <w:pStyle w:val="NoSpacing"/>
            </w:pPr>
            <w:hyperlink r:id="rId16" w:anchor=":~:text=the%20draft%20permit%3B-,(2),or%20are%20being%20treated%2C%20stored%2C%20disposed%20of%2C%20injected%2C%20emitted%2C%20or%20discharged.,-(3)" w:history="1">
              <w:r w:rsidR="00E51635" w:rsidRPr="00C02C21">
                <w:rPr>
                  <w:rStyle w:val="Hyperlink"/>
                </w:rPr>
                <w:t>§124.8(b)(2)</w:t>
              </w:r>
            </w:hyperlink>
          </w:p>
        </w:tc>
      </w:tr>
      <w:tr w:rsidR="00E51635" w14:paraId="2E4DABE4" w14:textId="77777777" w:rsidTr="00BB1B7F">
        <w:tc>
          <w:tcPr>
            <w:tcW w:w="7560" w:type="dxa"/>
            <w:tcBorders>
              <w:right w:val="dashed" w:sz="4" w:space="0" w:color="auto"/>
            </w:tcBorders>
            <w:shd w:val="clear" w:color="auto" w:fill="FFFFFF" w:themeFill="background1"/>
            <w:vAlign w:val="center"/>
          </w:tcPr>
          <w:p w14:paraId="2DF9046C" w14:textId="77777777" w:rsidR="00E51635" w:rsidRDefault="002E7B5B" w:rsidP="00E51635">
            <w:pPr>
              <w:pStyle w:val="NoSpacing"/>
              <w:ind w:left="240" w:hanging="240"/>
            </w:pPr>
            <w:sdt>
              <w:sdtPr>
                <w:id w:val="834501148"/>
                <w14:checkbox>
                  <w14:checked w14:val="0"/>
                  <w14:checkedState w14:val="2612" w14:font="MS Gothic"/>
                  <w14:uncheckedState w14:val="2610" w14:font="MS Gothic"/>
                </w14:checkbox>
              </w:sdtPr>
              <w:sdtEndPr/>
              <w:sdtContent>
                <w:r w:rsidR="00E51635">
                  <w:rPr>
                    <w:rFonts w:ascii="MS Gothic" w:eastAsia="MS Gothic" w:hAnsi="MS Gothic" w:hint="eastAsia"/>
                  </w:rPr>
                  <w:t>☐</w:t>
                </w:r>
              </w:sdtContent>
            </w:sdt>
            <w:r w:rsidR="00E51635">
              <w:t xml:space="preserve"> </w:t>
            </w:r>
            <w:r w:rsidR="00E51635" w:rsidRPr="00A468EB">
              <w:t>When appropriate, a sketch or detailed description of the location of each discharge or regulated activity described in the application</w:t>
            </w:r>
            <w:r w:rsidR="00E51635">
              <w:t>.</w:t>
            </w:r>
          </w:p>
        </w:tc>
        <w:tc>
          <w:tcPr>
            <w:tcW w:w="3060" w:type="dxa"/>
            <w:tcBorders>
              <w:left w:val="dashed" w:sz="4" w:space="0" w:color="auto"/>
            </w:tcBorders>
            <w:shd w:val="clear" w:color="auto" w:fill="FFFFFF" w:themeFill="background1"/>
            <w:vAlign w:val="center"/>
          </w:tcPr>
          <w:p w14:paraId="452B6EFD" w14:textId="1DA1A729" w:rsidR="00E51635" w:rsidRPr="00A468EB" w:rsidRDefault="002E7B5B" w:rsidP="00E51635">
            <w:pPr>
              <w:pStyle w:val="NoSpacing"/>
            </w:pPr>
            <w:hyperlink r:id="rId17" w:anchor=":~:text=122.44(m).-,(c),location%20of%20the%20discharge%20or%20regulated%20activity%20described%20in%20the%20application%3B,-and" w:history="1">
              <w:r w:rsidR="00E51635" w:rsidRPr="00C02C21">
                <w:rPr>
                  <w:rStyle w:val="Hyperlink"/>
                </w:rPr>
                <w:t>§124.56(c)</w:t>
              </w:r>
            </w:hyperlink>
          </w:p>
        </w:tc>
      </w:tr>
      <w:tr w:rsidR="00E51635" w14:paraId="2DE9E6D7" w14:textId="77777777" w:rsidTr="00BB1B7F">
        <w:tc>
          <w:tcPr>
            <w:tcW w:w="7560" w:type="dxa"/>
            <w:tcBorders>
              <w:bottom w:val="single" w:sz="4" w:space="0" w:color="auto"/>
              <w:right w:val="dashed" w:sz="4" w:space="0" w:color="auto"/>
            </w:tcBorders>
            <w:shd w:val="clear" w:color="auto" w:fill="FFFFFF" w:themeFill="background1"/>
            <w:vAlign w:val="center"/>
          </w:tcPr>
          <w:p w14:paraId="74C80458" w14:textId="5BD5D3C7" w:rsidR="00E51635" w:rsidRDefault="002E7B5B" w:rsidP="00E51635">
            <w:pPr>
              <w:pStyle w:val="NoSpacing"/>
              <w:ind w:left="240" w:hanging="240"/>
              <w:rPr>
                <w:rFonts w:ascii="MS Gothic" w:eastAsia="MS Gothic" w:hAnsi="MS Gothic"/>
              </w:rPr>
            </w:pPr>
            <w:sdt>
              <w:sdtPr>
                <w:id w:val="2145931902"/>
                <w14:checkbox>
                  <w14:checked w14:val="0"/>
                  <w14:checkedState w14:val="2612" w14:font="MS Gothic"/>
                  <w14:uncheckedState w14:val="2610" w14:font="MS Gothic"/>
                </w14:checkbox>
              </w:sdtPr>
              <w:sdtEndPr/>
              <w:sdtContent>
                <w:r w:rsidR="00E51635">
                  <w:rPr>
                    <w:rFonts w:ascii="MS Gothic" w:eastAsia="MS Gothic" w:hAnsi="MS Gothic" w:hint="eastAsia"/>
                  </w:rPr>
                  <w:t>☐</w:t>
                </w:r>
              </w:sdtContent>
            </w:sdt>
            <w:r w:rsidR="00E51635">
              <w:t xml:space="preserve"> </w:t>
            </w:r>
            <w:r w:rsidR="0029593F">
              <w:t>Where applicable, t</w:t>
            </w:r>
            <w:r w:rsidR="00E51635">
              <w:t>he Regional Administrator’s</w:t>
            </w:r>
            <w:r w:rsidR="00E51635" w:rsidRPr="00A468EB">
              <w:t xml:space="preserve"> decision to designate a </w:t>
            </w:r>
            <w:r w:rsidR="00E51635" w:rsidRPr="008F1A71">
              <w:t>facility</w:t>
            </w:r>
            <w:r w:rsidR="00E51635" w:rsidRPr="00A468EB">
              <w:t xml:space="preserve"> as a “treatment works treating domestic sewage</w:t>
            </w:r>
            <w:r w:rsidR="00E51635">
              <w:t>.</w:t>
            </w:r>
            <w:r w:rsidR="00E51635" w:rsidRPr="00A468EB">
              <w:t>”</w:t>
            </w:r>
          </w:p>
        </w:tc>
        <w:tc>
          <w:tcPr>
            <w:tcW w:w="3060" w:type="dxa"/>
            <w:tcBorders>
              <w:left w:val="dashed" w:sz="4" w:space="0" w:color="auto"/>
              <w:bottom w:val="single" w:sz="4" w:space="0" w:color="auto"/>
            </w:tcBorders>
            <w:shd w:val="clear" w:color="auto" w:fill="FFFFFF" w:themeFill="background1"/>
            <w:vAlign w:val="center"/>
          </w:tcPr>
          <w:p w14:paraId="385B9EDA" w14:textId="4D674C35" w:rsidR="00E51635" w:rsidRPr="00A468EB" w:rsidRDefault="002E7B5B" w:rsidP="00E51635">
            <w:pPr>
              <w:pStyle w:val="NoSpacing"/>
            </w:pPr>
            <w:hyperlink r:id="rId18" w:anchor=":~:text=The%20Regional%20Administrator,for%20the%20permit." w:history="1">
              <w:r w:rsidR="00E51635" w:rsidRPr="005152A0">
                <w:rPr>
                  <w:rStyle w:val="Hyperlink"/>
                </w:rPr>
                <w:t>§122.1(b)(3)</w:t>
              </w:r>
            </w:hyperlink>
          </w:p>
        </w:tc>
      </w:tr>
      <w:tr w:rsidR="00E51635" w14:paraId="7E53920F" w14:textId="77777777" w:rsidTr="00BB1B7F">
        <w:tc>
          <w:tcPr>
            <w:tcW w:w="10620" w:type="dxa"/>
            <w:gridSpan w:val="2"/>
            <w:tcBorders>
              <w:top w:val="nil"/>
              <w:left w:val="nil"/>
              <w:bottom w:val="single" w:sz="4" w:space="0" w:color="auto"/>
              <w:right w:val="nil"/>
            </w:tcBorders>
            <w:shd w:val="clear" w:color="auto" w:fill="auto"/>
            <w:vAlign w:val="center"/>
          </w:tcPr>
          <w:p w14:paraId="01499130" w14:textId="72FC363D" w:rsidR="00E51635" w:rsidRPr="00A468EB" w:rsidRDefault="00E51635" w:rsidP="00E51635">
            <w:pPr>
              <w:pStyle w:val="NoSpacing"/>
            </w:pPr>
          </w:p>
        </w:tc>
      </w:tr>
      <w:tr w:rsidR="00E51635" w14:paraId="044EBEED" w14:textId="77777777" w:rsidTr="00BB1B7F">
        <w:trPr>
          <w:cantSplit/>
        </w:trPr>
        <w:tc>
          <w:tcPr>
            <w:tcW w:w="10620" w:type="dxa"/>
            <w:gridSpan w:val="2"/>
            <w:tcBorders>
              <w:bottom w:val="single" w:sz="4" w:space="0" w:color="auto"/>
            </w:tcBorders>
            <w:shd w:val="clear" w:color="auto" w:fill="D0CECE" w:themeFill="background2" w:themeFillShade="E6"/>
            <w:vAlign w:val="center"/>
          </w:tcPr>
          <w:p w14:paraId="67174F6C" w14:textId="375C4242" w:rsidR="00E51635" w:rsidRPr="003A0E63" w:rsidRDefault="00E51635" w:rsidP="00E51635">
            <w:pPr>
              <w:pStyle w:val="NoSpacing"/>
              <w:rPr>
                <w:b/>
                <w:bCs/>
              </w:rPr>
            </w:pPr>
            <w:r w:rsidRPr="003A0E63">
              <w:rPr>
                <w:b/>
                <w:bCs/>
              </w:rPr>
              <w:t>Additional recommend</w:t>
            </w:r>
            <w:r w:rsidR="00E558E6">
              <w:rPr>
                <w:b/>
                <w:bCs/>
              </w:rPr>
              <w:t>ed information</w:t>
            </w:r>
            <w:r w:rsidR="00A07ED9">
              <w:rPr>
                <w:b/>
                <w:bCs/>
              </w:rPr>
              <w:t xml:space="preserve">, </w:t>
            </w:r>
            <w:r w:rsidR="009C0238">
              <w:rPr>
                <w:b/>
                <w:bCs/>
              </w:rPr>
              <w:t>where appropriate</w:t>
            </w:r>
            <w:r w:rsidR="00F06A2D">
              <w:rPr>
                <w:b/>
                <w:bCs/>
              </w:rPr>
              <w:t xml:space="preserve"> to the circumstances</w:t>
            </w:r>
            <w:r w:rsidRPr="003A0E63">
              <w:rPr>
                <w:b/>
                <w:bCs/>
              </w:rPr>
              <w:t>:</w:t>
            </w:r>
          </w:p>
        </w:tc>
      </w:tr>
      <w:tr w:rsidR="00E51635" w14:paraId="38ECCC05" w14:textId="77777777" w:rsidTr="00BB1B7F">
        <w:trPr>
          <w:cantSplit/>
          <w:trHeight w:val="2339"/>
        </w:trPr>
        <w:tc>
          <w:tcPr>
            <w:tcW w:w="10620" w:type="dxa"/>
            <w:gridSpan w:val="2"/>
            <w:shd w:val="clear" w:color="auto" w:fill="FFFFFF" w:themeFill="background1"/>
            <w:vAlign w:val="center"/>
          </w:tcPr>
          <w:p w14:paraId="6820F6A3" w14:textId="4F3968FE" w:rsidR="00E51635" w:rsidRPr="00A468EB" w:rsidRDefault="00E51635" w:rsidP="00BA04D7">
            <w:pPr>
              <w:pStyle w:val="NoSpacing"/>
              <w:numPr>
                <w:ilvl w:val="0"/>
                <w:numId w:val="20"/>
              </w:numPr>
            </w:pPr>
            <w:r w:rsidRPr="00A468EB">
              <w:t>Whether the facility is a major facility</w:t>
            </w:r>
            <w:r>
              <w:t xml:space="preserve">, as defined at </w:t>
            </w:r>
            <w:hyperlink r:id="rId19" w:anchor=":~:text=Major%20facility,the%20State%20Director." w:history="1">
              <w:r w:rsidRPr="00C70F6D">
                <w:rPr>
                  <w:rStyle w:val="Hyperlink"/>
                </w:rPr>
                <w:t>40 CFR 122.2</w:t>
              </w:r>
            </w:hyperlink>
            <w:r>
              <w:t>.</w:t>
            </w:r>
          </w:p>
          <w:p w14:paraId="53A2A7AD" w14:textId="6DB4A905" w:rsidR="00E51635" w:rsidRDefault="00E51635" w:rsidP="00E51635">
            <w:pPr>
              <w:pStyle w:val="NoSpacing"/>
              <w:numPr>
                <w:ilvl w:val="0"/>
                <w:numId w:val="13"/>
              </w:numPr>
            </w:pPr>
            <w:r>
              <w:t xml:space="preserve">For a POTW, a </w:t>
            </w:r>
            <w:r w:rsidRPr="00D762C2">
              <w:t xml:space="preserve">description of existing industrial </w:t>
            </w:r>
            <w:r>
              <w:t xml:space="preserve">users, including </w:t>
            </w:r>
            <w:r w:rsidRPr="001E5CF9">
              <w:t>the number of SIUs and NSCIUs and the number of those SIUs or NSCIUs that haul or truck their industrial waste to the POTW.</w:t>
            </w:r>
          </w:p>
          <w:p w14:paraId="5A3151DD" w14:textId="687DB6AE" w:rsidR="00E51635" w:rsidRDefault="00E51635" w:rsidP="00E51635">
            <w:pPr>
              <w:pStyle w:val="NoSpacing"/>
              <w:numPr>
                <w:ilvl w:val="0"/>
                <w:numId w:val="13"/>
              </w:numPr>
            </w:pPr>
            <w:r>
              <w:t>Geographic coordinate(s) of the facility and each outfall.</w:t>
            </w:r>
          </w:p>
          <w:p w14:paraId="51CD7B26" w14:textId="1F74DB75" w:rsidR="00E51635" w:rsidRPr="00A468EB" w:rsidRDefault="00E51635" w:rsidP="00E51635">
            <w:pPr>
              <w:pStyle w:val="NoSpacing"/>
              <w:numPr>
                <w:ilvl w:val="0"/>
                <w:numId w:val="13"/>
              </w:numPr>
            </w:pPr>
            <w:r>
              <w:t>The name of the receiving water.</w:t>
            </w:r>
            <w:r>
              <w:rPr>
                <w:rStyle w:val="EndnoteReference"/>
              </w:rPr>
              <w:endnoteReference w:id="3"/>
            </w:r>
            <w:r>
              <w:t xml:space="preserve"> </w:t>
            </w:r>
          </w:p>
          <w:p w14:paraId="3943230B" w14:textId="77777777" w:rsidR="00E51635" w:rsidRDefault="00E51635" w:rsidP="00E51635">
            <w:pPr>
              <w:pStyle w:val="NoSpacing"/>
              <w:numPr>
                <w:ilvl w:val="0"/>
                <w:numId w:val="13"/>
              </w:numPr>
            </w:pPr>
            <w:r w:rsidRPr="00A468EB">
              <w:t xml:space="preserve">The </w:t>
            </w:r>
            <w:r>
              <w:t xml:space="preserve">receiving water’s </w:t>
            </w:r>
            <w:r w:rsidRPr="00C04623">
              <w:t>designated use</w:t>
            </w:r>
            <w:r>
              <w:t>(</w:t>
            </w:r>
            <w:r w:rsidRPr="00C04623">
              <w:t>s</w:t>
            </w:r>
            <w:r>
              <w:t>).</w:t>
            </w:r>
          </w:p>
          <w:p w14:paraId="5FA430B0" w14:textId="391AB84D" w:rsidR="00E51635" w:rsidRPr="00A468EB" w:rsidRDefault="00E51635" w:rsidP="00E51635">
            <w:pPr>
              <w:pStyle w:val="NoSpacing"/>
              <w:numPr>
                <w:ilvl w:val="0"/>
                <w:numId w:val="13"/>
              </w:numPr>
            </w:pPr>
            <w:r>
              <w:t>The receiving water’s impairment status under CWA sections 303(d) and 305(b).</w:t>
            </w:r>
          </w:p>
        </w:tc>
      </w:tr>
    </w:tbl>
    <w:p w14:paraId="6F5BADDC" w14:textId="77777777" w:rsidR="00747DBA" w:rsidRDefault="00747DBA" w:rsidP="00747DBA"/>
    <w:tbl>
      <w:tblPr>
        <w:tblStyle w:val="TableGrid"/>
        <w:tblW w:w="0" w:type="auto"/>
        <w:tblLayout w:type="fixed"/>
        <w:tblLook w:val="04A0" w:firstRow="1" w:lastRow="0" w:firstColumn="1" w:lastColumn="0" w:noHBand="0" w:noVBand="1"/>
      </w:tblPr>
      <w:tblGrid>
        <w:gridCol w:w="7470"/>
        <w:gridCol w:w="3150"/>
      </w:tblGrid>
      <w:tr w:rsidR="00747DBA" w:rsidRPr="00540084" w14:paraId="7DB0314C" w14:textId="77777777" w:rsidTr="00BB1B7F">
        <w:tc>
          <w:tcPr>
            <w:tcW w:w="10620" w:type="dxa"/>
            <w:gridSpan w:val="2"/>
            <w:tcBorders>
              <w:top w:val="nil"/>
              <w:left w:val="nil"/>
              <w:bottom w:val="single" w:sz="4" w:space="0" w:color="auto"/>
              <w:right w:val="nil"/>
            </w:tcBorders>
            <w:vAlign w:val="center"/>
          </w:tcPr>
          <w:p w14:paraId="2B29CD28" w14:textId="04C8D6A3" w:rsidR="00747DBA" w:rsidRPr="00540084" w:rsidRDefault="00747DBA" w:rsidP="005E45DF">
            <w:pPr>
              <w:pStyle w:val="NoSpacing"/>
              <w:rPr>
                <w:b/>
                <w:bCs/>
                <w:sz w:val="24"/>
                <w:szCs w:val="24"/>
              </w:rPr>
            </w:pPr>
            <w:r>
              <w:rPr>
                <w:b/>
                <w:bCs/>
                <w:sz w:val="24"/>
                <w:szCs w:val="24"/>
              </w:rPr>
              <w:t xml:space="preserve">2. </w:t>
            </w:r>
            <w:r w:rsidR="00FC2D22">
              <w:rPr>
                <w:b/>
                <w:bCs/>
                <w:sz w:val="24"/>
                <w:szCs w:val="24"/>
              </w:rPr>
              <w:t xml:space="preserve">Derivation of </w:t>
            </w:r>
            <w:r>
              <w:rPr>
                <w:b/>
                <w:bCs/>
                <w:sz w:val="24"/>
                <w:szCs w:val="24"/>
              </w:rPr>
              <w:t>Effluent Limitations</w:t>
            </w:r>
          </w:p>
        </w:tc>
      </w:tr>
      <w:tr w:rsidR="00747DBA" w14:paraId="647F8A68" w14:textId="77777777" w:rsidTr="00BB1B7F">
        <w:tc>
          <w:tcPr>
            <w:tcW w:w="10620" w:type="dxa"/>
            <w:gridSpan w:val="2"/>
            <w:tcBorders>
              <w:top w:val="single" w:sz="4" w:space="0" w:color="auto"/>
              <w:bottom w:val="single" w:sz="4" w:space="0" w:color="auto"/>
            </w:tcBorders>
            <w:shd w:val="clear" w:color="auto" w:fill="C5E0B3" w:themeFill="accent6" w:themeFillTint="66"/>
            <w:vAlign w:val="center"/>
          </w:tcPr>
          <w:p w14:paraId="6B603288" w14:textId="4F580443" w:rsidR="00747DBA" w:rsidRDefault="00FC2D22" w:rsidP="005E45DF">
            <w:pPr>
              <w:pStyle w:val="NoSpacing"/>
              <w:rPr>
                <w:b/>
                <w:bCs/>
              </w:rPr>
            </w:pPr>
            <w:r>
              <w:rPr>
                <w:b/>
                <w:bCs/>
              </w:rPr>
              <w:t xml:space="preserve">General </w:t>
            </w:r>
            <w:r w:rsidR="00235C02">
              <w:rPr>
                <w:b/>
                <w:bCs/>
              </w:rPr>
              <w:t xml:space="preserve">Fact Sheet </w:t>
            </w:r>
            <w:r>
              <w:rPr>
                <w:b/>
                <w:bCs/>
              </w:rPr>
              <w:t xml:space="preserve">Requirement for </w:t>
            </w:r>
            <w:r w:rsidR="00906C85">
              <w:rPr>
                <w:b/>
                <w:bCs/>
              </w:rPr>
              <w:t>Effluent Limitations</w:t>
            </w:r>
            <w:r w:rsidR="00747DBA" w:rsidRPr="00A468EB">
              <w:t>:</w:t>
            </w:r>
          </w:p>
        </w:tc>
      </w:tr>
      <w:tr w:rsidR="00747DBA" w14:paraId="185E054B" w14:textId="77777777" w:rsidTr="00BB1B7F">
        <w:tc>
          <w:tcPr>
            <w:tcW w:w="7470" w:type="dxa"/>
            <w:tcBorders>
              <w:bottom w:val="single" w:sz="4" w:space="0" w:color="auto"/>
              <w:right w:val="dashed" w:sz="4" w:space="0" w:color="auto"/>
            </w:tcBorders>
            <w:shd w:val="clear" w:color="auto" w:fill="FFFFFF" w:themeFill="background1"/>
            <w:vAlign w:val="center"/>
          </w:tcPr>
          <w:p w14:paraId="01D3947E" w14:textId="1D0C73F3" w:rsidR="000E420E" w:rsidRDefault="002E7B5B" w:rsidP="005E45DF">
            <w:pPr>
              <w:pStyle w:val="NoSpacing"/>
              <w:ind w:left="240" w:hanging="240"/>
            </w:pPr>
            <w:sdt>
              <w:sdtPr>
                <w:id w:val="881370026"/>
                <w14:checkbox>
                  <w14:checked w14:val="0"/>
                  <w14:checkedState w14:val="2612" w14:font="MS Gothic"/>
                  <w14:uncheckedState w14:val="2610" w14:font="MS Gothic"/>
                </w14:checkbox>
              </w:sdtPr>
              <w:sdtEndPr/>
              <w:sdtContent>
                <w:r w:rsidR="00455DA1">
                  <w:rPr>
                    <w:rFonts w:ascii="MS Gothic" w:eastAsia="MS Gothic" w:hAnsi="MS Gothic" w:hint="eastAsia"/>
                  </w:rPr>
                  <w:t>☐</w:t>
                </w:r>
              </w:sdtContent>
            </w:sdt>
            <w:r w:rsidR="00455DA1">
              <w:t xml:space="preserve"> </w:t>
            </w:r>
            <w:r w:rsidR="00455DA1" w:rsidRPr="00EB5418">
              <w:t>Any calculations or other necessary explanation of the derivation of specific effluent limitations and conditions or standards for sewage sludge use or disposal, including a citation to the applicable</w:t>
            </w:r>
            <w:r w:rsidR="00455DA1">
              <w:t xml:space="preserve"> ELG, </w:t>
            </w:r>
            <w:r w:rsidR="00455DA1" w:rsidRPr="00EB5418">
              <w:t xml:space="preserve">performance standard, or standard for sewage sludge use or disposal as required by </w:t>
            </w:r>
            <w:hyperlink r:id="rId20" w:history="1">
              <w:r w:rsidR="00455DA1">
                <w:rPr>
                  <w:rStyle w:val="Hyperlink"/>
                </w:rPr>
                <w:t xml:space="preserve">40 CFR </w:t>
              </w:r>
              <w:r w:rsidR="00455DA1" w:rsidRPr="00C70F6D">
                <w:rPr>
                  <w:rStyle w:val="Hyperlink"/>
                </w:rPr>
                <w:t>122.44</w:t>
              </w:r>
            </w:hyperlink>
            <w:r w:rsidR="00455DA1" w:rsidRPr="00EB5418">
              <w:t xml:space="preserve"> and reasons why they are applicable or an explanation of how the alternate effluent limitations were developed.</w:t>
            </w:r>
          </w:p>
          <w:p w14:paraId="424FCF22" w14:textId="77777777" w:rsidR="00455DA1" w:rsidRDefault="00455DA1" w:rsidP="005E45DF">
            <w:pPr>
              <w:pStyle w:val="NoSpacing"/>
              <w:ind w:left="240" w:hanging="240"/>
            </w:pPr>
          </w:p>
          <w:p w14:paraId="52FEFD56" w14:textId="421AAA3E" w:rsidR="00455DA1" w:rsidRDefault="00E67C44" w:rsidP="007A56F5">
            <w:pPr>
              <w:pStyle w:val="NoSpacing"/>
              <w:ind w:left="240" w:hanging="240"/>
            </w:pPr>
            <w:r>
              <w:t xml:space="preserve">i. </w:t>
            </w:r>
            <w:r w:rsidR="00A10CF0">
              <w:t>This information</w:t>
            </w:r>
            <w:r w:rsidR="00C82DAD">
              <w:t xml:space="preserve"> provided</w:t>
            </w:r>
            <w:r w:rsidR="00A10CF0">
              <w:t xml:space="preserve"> </w:t>
            </w:r>
            <w:r w:rsidR="00C82DAD">
              <w:t xml:space="preserve">under </w:t>
            </w:r>
            <w:hyperlink r:id="rId21" w:anchor="p-124.56(a)" w:history="1">
              <w:r w:rsidR="00C82DAD" w:rsidRPr="00197818">
                <w:rPr>
                  <w:rStyle w:val="Hyperlink"/>
                  <w:rFonts w:cstheme="minorHAnsi"/>
                </w:rPr>
                <w:t>§</w:t>
              </w:r>
              <w:r w:rsidR="00C82DAD" w:rsidRPr="00197818">
                <w:rPr>
                  <w:rStyle w:val="Hyperlink"/>
                </w:rPr>
                <w:t>124.56(a)</w:t>
              </w:r>
            </w:hyperlink>
            <w:r w:rsidR="00C82DAD">
              <w:t xml:space="preserve"> would </w:t>
            </w:r>
            <w:r w:rsidR="00747DBA">
              <w:t>include</w:t>
            </w:r>
            <w:r w:rsidR="00DD5865">
              <w:t xml:space="preserve"> the following where warranted based on the particular facts of the permit</w:t>
            </w:r>
            <w:r w:rsidR="00747DBA">
              <w:t xml:space="preserve">: </w:t>
            </w:r>
          </w:p>
          <w:p w14:paraId="123B6D4C" w14:textId="2CB460B3" w:rsidR="00747DBA" w:rsidRDefault="002E7B5B" w:rsidP="005E45DF">
            <w:pPr>
              <w:pStyle w:val="NoSpacing"/>
              <w:ind w:left="616" w:hanging="240"/>
            </w:pPr>
            <w:sdt>
              <w:sdtPr>
                <w:id w:val="2090727309"/>
                <w14:checkbox>
                  <w14:checked w14:val="0"/>
                  <w14:checkedState w14:val="2612" w14:font="MS Gothic"/>
                  <w14:uncheckedState w14:val="2610" w14:font="MS Gothic"/>
                </w14:checkbox>
              </w:sdtPr>
              <w:sdtEndPr/>
              <w:sdtContent>
                <w:r w:rsidR="00747DBA">
                  <w:rPr>
                    <w:rFonts w:ascii="MS Gothic" w:eastAsia="MS Gothic" w:hAnsi="MS Gothic" w:hint="eastAsia"/>
                  </w:rPr>
                  <w:t>☐</w:t>
                </w:r>
              </w:sdtContent>
            </w:sdt>
            <w:r w:rsidR="00747DBA">
              <w:t xml:space="preserve"> A</w:t>
            </w:r>
            <w:r w:rsidR="009E485C">
              <w:t>n explanation</w:t>
            </w:r>
            <w:r w:rsidR="00DB0E75">
              <w:t xml:space="preserve"> </w:t>
            </w:r>
            <w:r w:rsidR="00EC02CD">
              <w:t xml:space="preserve">of </w:t>
            </w:r>
            <w:r w:rsidR="00DB0E75">
              <w:t xml:space="preserve">why </w:t>
            </w:r>
            <w:r w:rsidR="00747DBA">
              <w:t>pollutants which were reported as present in the permit application were not specifically limited in the permit.</w:t>
            </w:r>
          </w:p>
          <w:p w14:paraId="0CDCAAFE" w14:textId="5F054FF0" w:rsidR="00747DBA" w:rsidRDefault="002E7B5B" w:rsidP="005E45DF">
            <w:pPr>
              <w:pStyle w:val="NoSpacing"/>
              <w:ind w:left="616" w:hanging="240"/>
              <w:rPr>
                <w:rFonts w:ascii="Calibri" w:eastAsia="Times New Roman" w:hAnsi="Calibri" w:cs="Segoe UI"/>
                <w:szCs w:val="18"/>
                <w:shd w:val="clear" w:color="auto" w:fill="FFFFFF"/>
              </w:rPr>
            </w:pPr>
            <w:sdt>
              <w:sdtPr>
                <w:id w:val="1948185496"/>
                <w14:checkbox>
                  <w14:checked w14:val="0"/>
                  <w14:checkedState w14:val="2612" w14:font="MS Gothic"/>
                  <w14:uncheckedState w14:val="2610" w14:font="MS Gothic"/>
                </w14:checkbox>
              </w:sdtPr>
              <w:sdtEndPr/>
              <w:sdtContent>
                <w:r w:rsidR="00747DBA">
                  <w:rPr>
                    <w:rFonts w:ascii="MS Gothic" w:eastAsia="MS Gothic" w:hAnsi="MS Gothic" w:hint="eastAsia"/>
                  </w:rPr>
                  <w:t>☐</w:t>
                </w:r>
              </w:sdtContent>
            </w:sdt>
            <w:r w:rsidR="00747DBA">
              <w:t xml:space="preserve"> </w:t>
            </w:r>
            <w:r w:rsidR="00747DBA" w:rsidRPr="00D762C2">
              <w:t xml:space="preserve">An explanation of the basis </w:t>
            </w:r>
            <w:r w:rsidR="00612B4A">
              <w:t>for</w:t>
            </w:r>
            <w:r w:rsidR="00747DBA" w:rsidRPr="00D762C2">
              <w:t xml:space="preserve"> any effluent limitations that are being carried forward</w:t>
            </w:r>
            <w:r w:rsidR="005D15EE">
              <w:t xml:space="preserve"> from the previous permit to the </w:t>
            </w:r>
            <w:r w:rsidR="00176930">
              <w:t>reissued permit</w:t>
            </w:r>
            <w:r w:rsidR="005D15EE">
              <w:t xml:space="preserve">, </w:t>
            </w:r>
            <w:r w:rsidR="005D15EE" w:rsidRPr="00C83F95">
              <w:rPr>
                <w:rFonts w:ascii="Calibri" w:eastAsia="Times New Roman" w:hAnsi="Calibri" w:cs="Segoe UI"/>
                <w:szCs w:val="18"/>
                <w:shd w:val="clear" w:color="auto" w:fill="FFFFFF"/>
              </w:rPr>
              <w:t xml:space="preserve">including calculations or other documentation of how the limitation </w:t>
            </w:r>
            <w:r w:rsidR="0029593F">
              <w:rPr>
                <w:rFonts w:ascii="Calibri" w:eastAsia="Times New Roman" w:hAnsi="Calibri" w:cs="Segoe UI"/>
                <w:szCs w:val="18"/>
                <w:shd w:val="clear" w:color="auto" w:fill="FFFFFF"/>
              </w:rPr>
              <w:t xml:space="preserve">in the previous permit </w:t>
            </w:r>
            <w:r w:rsidR="005D15EE" w:rsidRPr="00C83F95">
              <w:rPr>
                <w:rFonts w:ascii="Calibri" w:eastAsia="Times New Roman" w:hAnsi="Calibri" w:cs="Segoe UI"/>
                <w:szCs w:val="18"/>
                <w:shd w:val="clear" w:color="auto" w:fill="FFFFFF"/>
              </w:rPr>
              <w:t>was derived.</w:t>
            </w:r>
          </w:p>
          <w:p w14:paraId="7CF5967B" w14:textId="77777777" w:rsidR="00837731" w:rsidRDefault="002E7B5B" w:rsidP="005E45DF">
            <w:pPr>
              <w:pStyle w:val="NoSpacing"/>
              <w:ind w:left="616" w:hanging="240"/>
            </w:pPr>
            <w:sdt>
              <w:sdtPr>
                <w:id w:val="32542101"/>
                <w14:checkbox>
                  <w14:checked w14:val="0"/>
                  <w14:checkedState w14:val="2612" w14:font="MS Gothic"/>
                  <w14:uncheckedState w14:val="2610" w14:font="MS Gothic"/>
                </w14:checkbox>
              </w:sdtPr>
              <w:sdtEndPr/>
              <w:sdtContent>
                <w:r w:rsidR="000A16DC">
                  <w:rPr>
                    <w:rFonts w:ascii="MS Gothic" w:eastAsia="MS Gothic" w:hAnsi="MS Gothic" w:hint="eastAsia"/>
                  </w:rPr>
                  <w:t>☐</w:t>
                </w:r>
              </w:sdtContent>
            </w:sdt>
            <w:r w:rsidR="000A16DC">
              <w:t xml:space="preserve"> </w:t>
            </w:r>
            <w:r w:rsidR="009E485C">
              <w:t>An explanation of</w:t>
            </w:r>
            <w:r w:rsidR="003513C1">
              <w:t xml:space="preserve"> how the f</w:t>
            </w:r>
            <w:r w:rsidR="000A16DC">
              <w:t xml:space="preserve">inal effluent limits </w:t>
            </w:r>
            <w:r w:rsidR="00402096">
              <w:t>meet</w:t>
            </w:r>
            <w:r w:rsidR="00A05B2F">
              <w:t xml:space="preserve"> </w:t>
            </w:r>
            <w:r w:rsidR="00795943">
              <w:t>technology and water quality</w:t>
            </w:r>
            <w:r w:rsidR="00402096">
              <w:t xml:space="preserve"> requirements</w:t>
            </w:r>
            <w:r w:rsidR="00795943">
              <w:t xml:space="preserve">, </w:t>
            </w:r>
            <w:r w:rsidR="000A16DC">
              <w:t xml:space="preserve">and whether any other elements in </w:t>
            </w:r>
            <w:hyperlink r:id="rId22" w:anchor="p-122.44(d)" w:history="1">
              <w:r w:rsidR="000A16DC" w:rsidRPr="00A16310">
                <w:rPr>
                  <w:rStyle w:val="Hyperlink"/>
                </w:rPr>
                <w:t>40 CFR 122.44(d)</w:t>
              </w:r>
            </w:hyperlink>
            <w:r w:rsidR="000A16DC">
              <w:t xml:space="preserve"> were addressed, where applicable.</w:t>
            </w:r>
            <w:r w:rsidR="000A16DC">
              <w:rPr>
                <w:rStyle w:val="EndnoteReference"/>
              </w:rPr>
              <w:endnoteReference w:id="4"/>
            </w:r>
          </w:p>
          <w:p w14:paraId="60D0EB95" w14:textId="745F0952" w:rsidR="00747DBA" w:rsidRDefault="002E7B5B" w:rsidP="005E45DF">
            <w:pPr>
              <w:pStyle w:val="NoSpacing"/>
              <w:ind w:left="616" w:hanging="240"/>
            </w:pPr>
            <w:sdt>
              <w:sdtPr>
                <w:id w:val="-2019693787"/>
                <w14:checkbox>
                  <w14:checked w14:val="0"/>
                  <w14:checkedState w14:val="2612" w14:font="MS Gothic"/>
                  <w14:uncheckedState w14:val="2610" w14:font="MS Gothic"/>
                </w14:checkbox>
              </w:sdtPr>
              <w:sdtEndPr/>
              <w:sdtContent>
                <w:r w:rsidR="00747DBA">
                  <w:rPr>
                    <w:rFonts w:ascii="MS Gothic" w:eastAsia="MS Gothic" w:hAnsi="MS Gothic" w:hint="eastAsia"/>
                  </w:rPr>
                  <w:t>☐</w:t>
                </w:r>
              </w:sdtContent>
            </w:sdt>
            <w:r w:rsidR="00747DBA">
              <w:t xml:space="preserve"> </w:t>
            </w:r>
            <w:r w:rsidR="00EA6AA1">
              <w:t>A brief</w:t>
            </w:r>
            <w:r w:rsidR="00747DBA">
              <w:t xml:space="preserve"> rationale for any</w:t>
            </w:r>
            <w:r w:rsidR="00CA6CDA">
              <w:t xml:space="preserve"> </w:t>
            </w:r>
            <w:r w:rsidR="00747DBA">
              <w:t xml:space="preserve">BMPs imposed pursuant to </w:t>
            </w:r>
            <w:hyperlink r:id="rId23" w:anchor="p-122.44(k):~:text=of%20the%20CWA.-,(k),Best%20management%20practices%20(BMPs),-to%20control%20or" w:history="1">
              <w:r w:rsidR="00D02309" w:rsidRPr="00B62236">
                <w:rPr>
                  <w:rStyle w:val="Hyperlink"/>
                </w:rPr>
                <w:t xml:space="preserve">40 CFR </w:t>
              </w:r>
              <w:r w:rsidR="00747DBA" w:rsidRPr="00B62236">
                <w:rPr>
                  <w:rStyle w:val="Hyperlink"/>
                </w:rPr>
                <w:t>122.44(k)</w:t>
              </w:r>
            </w:hyperlink>
            <w:r w:rsidR="00747DBA">
              <w:t>.</w:t>
            </w:r>
          </w:p>
          <w:p w14:paraId="465FB591" w14:textId="7F51EEFA" w:rsidR="00747DBA" w:rsidRDefault="002E7B5B" w:rsidP="00A62DBC">
            <w:pPr>
              <w:pStyle w:val="NoSpacing"/>
              <w:ind w:left="607" w:hanging="240"/>
            </w:pPr>
            <w:sdt>
              <w:sdtPr>
                <w:id w:val="1115494052"/>
                <w14:checkbox>
                  <w14:checked w14:val="0"/>
                  <w14:checkedState w14:val="2612" w14:font="MS Gothic"/>
                  <w14:uncheckedState w14:val="2610" w14:font="MS Gothic"/>
                </w14:checkbox>
              </w:sdtPr>
              <w:sdtEndPr/>
              <w:sdtContent>
                <w:r w:rsidR="00747DBA">
                  <w:rPr>
                    <w:rFonts w:ascii="MS Gothic" w:eastAsia="MS Gothic" w:hAnsi="MS Gothic" w:hint="eastAsia"/>
                  </w:rPr>
                  <w:t>☐</w:t>
                </w:r>
              </w:sdtContent>
            </w:sdt>
            <w:r w:rsidR="00747DBA">
              <w:t xml:space="preserve"> </w:t>
            </w:r>
            <w:r w:rsidR="009A6697">
              <w:t>For continuous discharges, a</w:t>
            </w:r>
            <w:r w:rsidR="00747DBA" w:rsidRPr="00D762C2">
              <w:t xml:space="preserve">n explanation of the basis </w:t>
            </w:r>
            <w:r w:rsidR="003B1817">
              <w:t>for</w:t>
            </w:r>
            <w:r w:rsidR="00747DBA" w:rsidRPr="00D762C2">
              <w:t xml:space="preserve"> any alternate </w:t>
            </w:r>
            <w:r w:rsidR="002D6BA3">
              <w:t>averaging period for</w:t>
            </w:r>
            <w:r w:rsidR="00747DBA" w:rsidRPr="00D762C2">
              <w:t xml:space="preserve"> permit limits (</w:t>
            </w:r>
            <w:r w:rsidR="00747DBA" w:rsidRPr="00837731">
              <w:rPr>
                <w:i/>
                <w:iCs/>
              </w:rPr>
              <w:t>i.e</w:t>
            </w:r>
            <w:r w:rsidR="00747DBA" w:rsidRPr="00D762C2">
              <w:t xml:space="preserve">., other than </w:t>
            </w:r>
            <w:r w:rsidR="00CE125F" w:rsidRPr="00CE125F">
              <w:t>both average monthly limits and maximum daily limits for non-POTWs, and average monthly limits and average weekly limits for POTWs</w:t>
            </w:r>
            <w:r w:rsidR="00747DBA" w:rsidRPr="00D762C2">
              <w:t>).</w:t>
            </w:r>
          </w:p>
          <w:p w14:paraId="78B1AB15" w14:textId="0110E336" w:rsidR="00E67C44" w:rsidRDefault="00E67C44" w:rsidP="00DC2DEC">
            <w:pPr>
              <w:pStyle w:val="NoSpacing"/>
              <w:ind w:left="240" w:hanging="240"/>
            </w:pPr>
            <w:r>
              <w:lastRenderedPageBreak/>
              <w:t xml:space="preserve">ii. For </w:t>
            </w:r>
            <w:r>
              <w:rPr>
                <w:b/>
                <w:bCs/>
              </w:rPr>
              <w:t>technology-based effluent limitations</w:t>
            </w:r>
            <w:r>
              <w:t xml:space="preserve">, EPA expects that the information provided under </w:t>
            </w:r>
            <w:hyperlink r:id="rId24" w:anchor="p-124.56(a)" w:history="1">
              <w:r w:rsidR="00C350A0" w:rsidRPr="00197818">
                <w:rPr>
                  <w:rStyle w:val="Hyperlink"/>
                  <w:rFonts w:cstheme="minorHAnsi"/>
                </w:rPr>
                <w:t>§</w:t>
              </w:r>
              <w:r w:rsidRPr="00197818">
                <w:rPr>
                  <w:rStyle w:val="Hyperlink"/>
                </w:rPr>
                <w:t>124.56(a)</w:t>
              </w:r>
            </w:hyperlink>
            <w:r>
              <w:t xml:space="preserve"> would include the following where warranted based on the particular facts of the permit:</w:t>
            </w:r>
          </w:p>
          <w:p w14:paraId="60C55BBB" w14:textId="2994FA07" w:rsidR="00747DBA" w:rsidRPr="009E05A9" w:rsidRDefault="00747DBA" w:rsidP="005E45DF"/>
          <w:p w14:paraId="0E5D0FE5" w14:textId="77777777" w:rsidR="00747DBA" w:rsidRDefault="00747DBA" w:rsidP="005E45DF">
            <w:pPr>
              <w:ind w:left="240"/>
            </w:pPr>
            <w:r>
              <w:t>For POTWs:</w:t>
            </w:r>
          </w:p>
          <w:p w14:paraId="23377A71" w14:textId="1A4BDCB2" w:rsidR="00747DBA" w:rsidRDefault="002E7B5B" w:rsidP="001A5859">
            <w:pPr>
              <w:pStyle w:val="ListParagraph"/>
              <w:ind w:left="877" w:hanging="277"/>
            </w:pPr>
            <w:sdt>
              <w:sdtPr>
                <w:id w:val="4408216"/>
                <w14:checkbox>
                  <w14:checked w14:val="0"/>
                  <w14:checkedState w14:val="2612" w14:font="MS Gothic"/>
                  <w14:uncheckedState w14:val="2610" w14:font="MS Gothic"/>
                </w14:checkbox>
              </w:sdtPr>
              <w:sdtEndPr/>
              <w:sdtContent>
                <w:r w:rsidR="00747DBA">
                  <w:rPr>
                    <w:rFonts w:ascii="MS Gothic" w:eastAsia="MS Gothic" w:hAnsi="MS Gothic" w:hint="eastAsia"/>
                  </w:rPr>
                  <w:t>☐</w:t>
                </w:r>
              </w:sdtContent>
            </w:sdt>
            <w:r w:rsidR="00747DBA">
              <w:t xml:space="preserve"> Calculations</w:t>
            </w:r>
            <w:r w:rsidR="00222E2E">
              <w:t xml:space="preserve"> or rationale</w:t>
            </w:r>
            <w:r w:rsidR="00747DBA">
              <w:t xml:space="preserve"> for how </w:t>
            </w:r>
            <w:r w:rsidR="00131622" w:rsidRPr="00131622">
              <w:t xml:space="preserve">equivalent-to-secondary standards </w:t>
            </w:r>
            <w:r w:rsidR="00006B5F">
              <w:t>(</w:t>
            </w:r>
            <w:hyperlink r:id="rId25" w:history="1">
              <w:r w:rsidR="00006B5F" w:rsidRPr="00C70F6D">
                <w:rPr>
                  <w:rStyle w:val="Hyperlink"/>
                </w:rPr>
                <w:t>40 CFR 133.105</w:t>
              </w:r>
            </w:hyperlink>
            <w:r w:rsidR="00006B5F">
              <w:t>) or special considerations (</w:t>
            </w:r>
            <w:hyperlink r:id="rId26" w:history="1">
              <w:r w:rsidR="00006B5F" w:rsidRPr="00C70F6D">
                <w:rPr>
                  <w:rStyle w:val="Hyperlink"/>
                </w:rPr>
                <w:t>40 CFR 133.103</w:t>
              </w:r>
            </w:hyperlink>
            <w:r w:rsidR="00006B5F">
              <w:t>) were derived or applied</w:t>
            </w:r>
            <w:r w:rsidR="00747DBA">
              <w:t>.</w:t>
            </w:r>
          </w:p>
          <w:p w14:paraId="22610803" w14:textId="37CBC3AC" w:rsidR="00747DBA" w:rsidRDefault="002E7B5B" w:rsidP="00D762C2">
            <w:pPr>
              <w:pStyle w:val="ListParagraph"/>
              <w:ind w:left="877" w:hanging="277"/>
            </w:pPr>
            <w:sdt>
              <w:sdtPr>
                <w:id w:val="1319302137"/>
                <w14:checkbox>
                  <w14:checked w14:val="0"/>
                  <w14:checkedState w14:val="2612" w14:font="MS Gothic"/>
                  <w14:uncheckedState w14:val="2610" w14:font="MS Gothic"/>
                </w14:checkbox>
              </w:sdtPr>
              <w:sdtEndPr/>
              <w:sdtContent>
                <w:r w:rsidR="00747DBA">
                  <w:rPr>
                    <w:rFonts w:ascii="MS Gothic" w:eastAsia="MS Gothic" w:hAnsi="MS Gothic" w:hint="eastAsia"/>
                  </w:rPr>
                  <w:t>☐</w:t>
                </w:r>
              </w:sdtContent>
            </w:sdt>
            <w:r w:rsidR="00747DBA">
              <w:t xml:space="preserve"> The rationale for any BOD</w:t>
            </w:r>
            <w:bookmarkStart w:id="4" w:name="_Hlk166860892"/>
            <w:r w:rsidR="00747DBA" w:rsidRPr="00536718">
              <w:rPr>
                <w:vertAlign w:val="subscript"/>
              </w:rPr>
              <w:t>5</w:t>
            </w:r>
            <w:bookmarkEnd w:id="4"/>
            <w:r w:rsidR="00747DBA">
              <w:t xml:space="preserve"> (or CBOD</w:t>
            </w:r>
            <w:r w:rsidR="00536718" w:rsidRPr="00536718">
              <w:rPr>
                <w:vertAlign w:val="subscript"/>
              </w:rPr>
              <w:t>5</w:t>
            </w:r>
            <w:r w:rsidR="00747DBA">
              <w:t xml:space="preserve">), TSS, </w:t>
            </w:r>
            <w:r w:rsidR="009E05A9">
              <w:t>or</w:t>
            </w:r>
            <w:r w:rsidR="00747DBA">
              <w:t xml:space="preserve"> pH limits </w:t>
            </w:r>
            <w:r w:rsidR="0098306A">
              <w:t xml:space="preserve">that do </w:t>
            </w:r>
            <w:r w:rsidR="00E258EF">
              <w:t xml:space="preserve">not appear to reflect </w:t>
            </w:r>
            <w:r w:rsidR="00747DBA">
              <w:t>secondary treatment standards (</w:t>
            </w:r>
            <w:hyperlink r:id="rId27" w:history="1">
              <w:r w:rsidR="00747DBA" w:rsidRPr="00C70F6D">
                <w:rPr>
                  <w:rStyle w:val="Hyperlink"/>
                </w:rPr>
                <w:t>40</w:t>
              </w:r>
              <w:r w:rsidR="00E258EF" w:rsidRPr="00C70F6D">
                <w:rPr>
                  <w:rStyle w:val="Hyperlink"/>
                </w:rPr>
                <w:t> CFR </w:t>
              </w:r>
              <w:r w:rsidR="00747DBA" w:rsidRPr="00C70F6D">
                <w:rPr>
                  <w:rStyle w:val="Hyperlink"/>
                </w:rPr>
                <w:t>133.102</w:t>
              </w:r>
            </w:hyperlink>
            <w:r w:rsidR="00747DBA">
              <w:t>), equivalent-to-secondary standards, or special considerations.</w:t>
            </w:r>
          </w:p>
          <w:p w14:paraId="7F7D0F16" w14:textId="77777777" w:rsidR="00747DBA" w:rsidRDefault="00747DBA" w:rsidP="0037790C">
            <w:pPr>
              <w:spacing w:before="80"/>
              <w:ind w:left="240"/>
            </w:pPr>
            <w:r>
              <w:t>For non-POTWs:</w:t>
            </w:r>
          </w:p>
          <w:p w14:paraId="28498717" w14:textId="0D1BA18C" w:rsidR="0037790C" w:rsidRDefault="002E7B5B" w:rsidP="007A56F5">
            <w:pPr>
              <w:pStyle w:val="ListParagraph"/>
              <w:ind w:left="877" w:hanging="277"/>
            </w:pPr>
            <w:sdt>
              <w:sdtPr>
                <w:id w:val="-1714889796"/>
                <w14:checkbox>
                  <w14:checked w14:val="0"/>
                  <w14:checkedState w14:val="2612" w14:font="MS Gothic"/>
                  <w14:uncheckedState w14:val="2610" w14:font="MS Gothic"/>
                </w14:checkbox>
              </w:sdtPr>
              <w:sdtEndPr/>
              <w:sdtContent>
                <w:r w:rsidR="0037790C">
                  <w:rPr>
                    <w:rFonts w:ascii="MS Gothic" w:eastAsia="MS Gothic" w:hAnsi="MS Gothic" w:hint="eastAsia"/>
                  </w:rPr>
                  <w:t>☐</w:t>
                </w:r>
              </w:sdtContent>
            </w:sdt>
            <w:r w:rsidR="0037790C">
              <w:t xml:space="preserve"> Documentation of the calculations for </w:t>
            </w:r>
            <w:r w:rsidR="0037790C" w:rsidRPr="0037790C">
              <w:t>limits based on production or flow</w:t>
            </w:r>
            <w:r w:rsidR="00A62DBC">
              <w:t>.</w:t>
            </w:r>
          </w:p>
          <w:p w14:paraId="7BB8C170" w14:textId="213F66E6" w:rsidR="00747DBA" w:rsidRDefault="002E7B5B" w:rsidP="005E45DF">
            <w:pPr>
              <w:pStyle w:val="ListParagraph"/>
              <w:ind w:left="877" w:hanging="277"/>
            </w:pPr>
            <w:sdt>
              <w:sdtPr>
                <w:id w:val="-1648435467"/>
                <w14:checkbox>
                  <w14:checked w14:val="0"/>
                  <w14:checkedState w14:val="2612" w14:font="MS Gothic"/>
                  <w14:uncheckedState w14:val="2610" w14:font="MS Gothic"/>
                </w14:checkbox>
              </w:sdtPr>
              <w:sdtEndPr/>
              <w:sdtContent>
                <w:r w:rsidR="0037790C">
                  <w:rPr>
                    <w:rFonts w:ascii="MS Gothic" w:eastAsia="MS Gothic" w:hAnsi="MS Gothic" w:hint="eastAsia"/>
                  </w:rPr>
                  <w:t>☐</w:t>
                </w:r>
              </w:sdtContent>
            </w:sdt>
            <w:r w:rsidR="0037790C">
              <w:t xml:space="preserve"> </w:t>
            </w:r>
            <w:r w:rsidR="00747DBA" w:rsidRPr="00174CDE">
              <w:t>W</w:t>
            </w:r>
            <w:r w:rsidR="00194E80">
              <w:t xml:space="preserve">here limits based on </w:t>
            </w:r>
            <w:r w:rsidR="00587C4F">
              <w:t xml:space="preserve">ELGs </w:t>
            </w:r>
            <w:r w:rsidR="00194E80">
              <w:t xml:space="preserve">were used, a citation to the applicable ELG and whether the limit was </w:t>
            </w:r>
            <w:r w:rsidR="00242B32">
              <w:t xml:space="preserve">based on </w:t>
            </w:r>
            <w:r w:rsidR="00747DBA" w:rsidRPr="00174CDE">
              <w:t>BPT, BAT</w:t>
            </w:r>
            <w:r w:rsidR="004243A2">
              <w:t xml:space="preserve">, </w:t>
            </w:r>
            <w:r w:rsidR="00747DBA" w:rsidRPr="00174CDE">
              <w:t>BCT, or NSPS</w:t>
            </w:r>
            <w:r w:rsidR="00747DBA">
              <w:t>.</w:t>
            </w:r>
          </w:p>
          <w:bookmarkStart w:id="5" w:name="_Hlk166840094"/>
          <w:p w14:paraId="1FC75E23" w14:textId="2467989C" w:rsidR="006B558A" w:rsidRDefault="002E7B5B" w:rsidP="006B558A">
            <w:pPr>
              <w:pStyle w:val="ListParagraph"/>
              <w:spacing w:before="120"/>
              <w:ind w:left="877" w:hanging="277"/>
            </w:pPr>
            <w:sdt>
              <w:sdtPr>
                <w:id w:val="-2136394593"/>
                <w14:checkbox>
                  <w14:checked w14:val="0"/>
                  <w14:checkedState w14:val="2612" w14:font="MS Gothic"/>
                  <w14:uncheckedState w14:val="2610" w14:font="MS Gothic"/>
                </w14:checkbox>
              </w:sdtPr>
              <w:sdtEndPr/>
              <w:sdtContent>
                <w:r w:rsidR="006B558A">
                  <w:rPr>
                    <w:rFonts w:ascii="MS Gothic" w:eastAsia="MS Gothic" w:hAnsi="MS Gothic" w:hint="eastAsia"/>
                  </w:rPr>
                  <w:t>☐</w:t>
                </w:r>
              </w:sdtContent>
            </w:sdt>
            <w:r w:rsidR="006B558A">
              <w:t xml:space="preserve"> </w:t>
            </w:r>
            <w:r w:rsidR="006B558A" w:rsidRPr="00174CDE">
              <w:t>W</w:t>
            </w:r>
            <w:r w:rsidR="006B558A">
              <w:t xml:space="preserve">here case-by-case limits based on BPJ were derived in accordance with </w:t>
            </w:r>
            <w:hyperlink r:id="rId28" w:anchor="p-125.3(c)" w:history="1">
              <w:r w:rsidR="006B558A" w:rsidRPr="009973EB">
                <w:rPr>
                  <w:rStyle w:val="Hyperlink"/>
                </w:rPr>
                <w:t>40 CFR 125.3(c)</w:t>
              </w:r>
            </w:hyperlink>
            <w:r w:rsidR="006B558A">
              <w:t xml:space="preserve">, an explanation of how the factors in </w:t>
            </w:r>
            <w:hyperlink r:id="rId29" w:anchor="p-125.3(d)" w:history="1">
              <w:r w:rsidR="006B558A" w:rsidRPr="009973EB">
                <w:rPr>
                  <w:rStyle w:val="Hyperlink"/>
                </w:rPr>
                <w:t>40</w:t>
              </w:r>
              <w:r w:rsidR="00C350A0" w:rsidRPr="009973EB">
                <w:rPr>
                  <w:rStyle w:val="Hyperlink"/>
                </w:rPr>
                <w:t> </w:t>
              </w:r>
              <w:r w:rsidR="006B558A" w:rsidRPr="009973EB">
                <w:rPr>
                  <w:rStyle w:val="Hyperlink"/>
                </w:rPr>
                <w:t>CFR 125.3(d)</w:t>
              </w:r>
            </w:hyperlink>
            <w:r w:rsidR="006B558A">
              <w:t xml:space="preserve"> were considered.</w:t>
            </w:r>
          </w:p>
          <w:bookmarkEnd w:id="5"/>
          <w:p w14:paraId="001ADF6E" w14:textId="77777777" w:rsidR="006B558A" w:rsidRDefault="006B558A" w:rsidP="0037790C">
            <w:pPr>
              <w:pStyle w:val="ListParagraph"/>
              <w:spacing w:before="120"/>
              <w:ind w:left="877" w:hanging="277"/>
            </w:pPr>
          </w:p>
          <w:p w14:paraId="0028159D" w14:textId="728FBB1A" w:rsidR="005043BA" w:rsidRDefault="005043BA" w:rsidP="00DC2DEC">
            <w:pPr>
              <w:pStyle w:val="NoSpacing"/>
              <w:ind w:left="240" w:hanging="240"/>
            </w:pPr>
            <w:r>
              <w:t xml:space="preserve">iii. For </w:t>
            </w:r>
            <w:r>
              <w:rPr>
                <w:b/>
                <w:bCs/>
              </w:rPr>
              <w:t>water quality-based effluent limitations</w:t>
            </w:r>
            <w:r w:rsidR="00536718">
              <w:rPr>
                <w:b/>
                <w:bCs/>
              </w:rPr>
              <w:t xml:space="preserve"> (WQBELs)</w:t>
            </w:r>
            <w:r>
              <w:rPr>
                <w:b/>
                <w:bCs/>
              </w:rPr>
              <w:t xml:space="preserve">, </w:t>
            </w:r>
            <w:r>
              <w:t xml:space="preserve">EPA expects that the information provided under </w:t>
            </w:r>
            <w:hyperlink r:id="rId30" w:anchor="p-124.56(a)" w:history="1">
              <w:r w:rsidR="00197818" w:rsidRPr="00197818">
                <w:rPr>
                  <w:rStyle w:val="Hyperlink"/>
                  <w:rFonts w:cstheme="minorHAnsi"/>
                </w:rPr>
                <w:t>§</w:t>
              </w:r>
              <w:r w:rsidR="00197818" w:rsidRPr="00197818">
                <w:rPr>
                  <w:rStyle w:val="Hyperlink"/>
                </w:rPr>
                <w:t>124.56(a)</w:t>
              </w:r>
            </w:hyperlink>
            <w:r w:rsidR="00197818">
              <w:t xml:space="preserve"> </w:t>
            </w:r>
            <w:r>
              <w:t>would include the following where warranted based on the particular facts of the permit:</w:t>
            </w:r>
          </w:p>
          <w:p w14:paraId="5598B77F" w14:textId="2BAB2905" w:rsidR="00747DBA" w:rsidRDefault="002E7B5B" w:rsidP="005E45DF">
            <w:pPr>
              <w:ind w:left="607" w:hanging="247"/>
            </w:pPr>
            <w:sdt>
              <w:sdtPr>
                <w:id w:val="926003488"/>
                <w14:checkbox>
                  <w14:checked w14:val="0"/>
                  <w14:checkedState w14:val="2612" w14:font="MS Gothic"/>
                  <w14:uncheckedState w14:val="2610" w14:font="MS Gothic"/>
                </w14:checkbox>
              </w:sdtPr>
              <w:sdtEndPr/>
              <w:sdtContent>
                <w:r w:rsidR="004E5E19">
                  <w:rPr>
                    <w:rFonts w:ascii="MS Gothic" w:eastAsia="MS Gothic" w:hAnsi="MS Gothic" w:hint="eastAsia"/>
                  </w:rPr>
                  <w:t>☐</w:t>
                </w:r>
              </w:sdtContent>
            </w:sdt>
            <w:r w:rsidR="00747DBA">
              <w:t xml:space="preserve"> </w:t>
            </w:r>
            <w:r w:rsidR="00E348D6">
              <w:t>W</w:t>
            </w:r>
            <w:r w:rsidR="000244A3">
              <w:t xml:space="preserve">hether all pollutants known or reasonably believed to be present in the discharge were evaluated for </w:t>
            </w:r>
            <w:r w:rsidR="007A56F5">
              <w:t>reasonable potential (RP)</w:t>
            </w:r>
            <w:r w:rsidR="00E348D6">
              <w:t xml:space="preserve"> and if not, how pollutants were selected for RP analysis.</w:t>
            </w:r>
          </w:p>
          <w:p w14:paraId="5EC45BA0" w14:textId="4DC3D5BB" w:rsidR="00747DBA" w:rsidRDefault="002E7B5B" w:rsidP="009973EB">
            <w:pPr>
              <w:ind w:left="607" w:hanging="247"/>
            </w:pPr>
            <w:sdt>
              <w:sdtPr>
                <w:id w:val="-1835835244"/>
                <w14:checkbox>
                  <w14:checked w14:val="0"/>
                  <w14:checkedState w14:val="2612" w14:font="MS Gothic"/>
                  <w14:uncheckedState w14:val="2610" w14:font="MS Gothic"/>
                </w14:checkbox>
              </w:sdtPr>
              <w:sdtEndPr/>
              <w:sdtContent>
                <w:r w:rsidR="004848CB">
                  <w:rPr>
                    <w:rFonts w:ascii="MS Gothic" w:eastAsia="MS Gothic" w:hAnsi="MS Gothic" w:hint="eastAsia"/>
                  </w:rPr>
                  <w:t>☐</w:t>
                </w:r>
              </w:sdtContent>
            </w:sdt>
            <w:r w:rsidR="004848CB">
              <w:t xml:space="preserve"> </w:t>
            </w:r>
            <w:bookmarkStart w:id="6" w:name="_Hlk174107846"/>
            <w:r w:rsidR="004848CB">
              <w:t>How RP was assessed</w:t>
            </w:r>
            <w:r w:rsidR="004848CB" w:rsidRPr="00D762C2">
              <w:t>, including documentation of the data used, any data excluded</w:t>
            </w:r>
            <w:r w:rsidR="004848CB">
              <w:t xml:space="preserve"> and why</w:t>
            </w:r>
            <w:r w:rsidR="004848CB" w:rsidRPr="00D762C2">
              <w:t>, and how the data were analyzed</w:t>
            </w:r>
            <w:r w:rsidR="004848CB">
              <w:t xml:space="preserve"> (including how the factors in </w:t>
            </w:r>
            <w:hyperlink r:id="rId31" w:anchor="p-122.44(d)(1)(ii):~:text=for%20water%20quality.-,(ii),where%20appropriate%2C%20the%20dilution%20of%20the%20effluent%20in%20the%20receiving%20water.,-(iii)" w:history="1">
              <w:r w:rsidR="004848CB" w:rsidRPr="0048640A">
                <w:rPr>
                  <w:rStyle w:val="Hyperlink"/>
                </w:rPr>
                <w:t>40 CFR 122.44(d)(1)(ii)</w:t>
              </w:r>
            </w:hyperlink>
            <w:r w:rsidR="004848CB">
              <w:t xml:space="preserve"> were addressed)</w:t>
            </w:r>
            <w:r w:rsidR="004848CB" w:rsidRPr="00D762C2">
              <w:t>.</w:t>
            </w:r>
            <w:r w:rsidR="004848CB">
              <w:t xml:space="preserve"> </w:t>
            </w:r>
            <w:bookmarkEnd w:id="6"/>
          </w:p>
          <w:p w14:paraId="629612BD" w14:textId="77777777" w:rsidR="000C7F20" w:rsidRDefault="002E7B5B" w:rsidP="005E45DF">
            <w:pPr>
              <w:ind w:left="607" w:hanging="247"/>
            </w:pPr>
            <w:sdt>
              <w:sdtPr>
                <w:id w:val="2096744745"/>
                <w14:checkbox>
                  <w14:checked w14:val="0"/>
                  <w14:checkedState w14:val="2612" w14:font="MS Gothic"/>
                  <w14:uncheckedState w14:val="2610" w14:font="MS Gothic"/>
                </w14:checkbox>
              </w:sdtPr>
              <w:sdtEndPr/>
              <w:sdtContent>
                <w:r w:rsidR="00747DBA">
                  <w:rPr>
                    <w:rFonts w:ascii="MS Gothic" w:eastAsia="MS Gothic" w:hAnsi="MS Gothic" w:hint="eastAsia"/>
                  </w:rPr>
                  <w:t>☐</w:t>
                </w:r>
              </w:sdtContent>
            </w:sdt>
            <w:r w:rsidR="00747DBA">
              <w:t xml:space="preserve"> How WQBELs were developed consistent with</w:t>
            </w:r>
            <w:r w:rsidR="000C7F20">
              <w:t>:</w:t>
            </w:r>
          </w:p>
          <w:p w14:paraId="292A0420" w14:textId="5D08C201" w:rsidR="000C7F20" w:rsidRDefault="002E7B5B" w:rsidP="000C7F20">
            <w:pPr>
              <w:ind w:left="854" w:hanging="247"/>
            </w:pPr>
            <w:sdt>
              <w:sdtPr>
                <w:id w:val="-1407453910"/>
                <w14:checkbox>
                  <w14:checked w14:val="0"/>
                  <w14:checkedState w14:val="2612" w14:font="MS Gothic"/>
                  <w14:uncheckedState w14:val="2610" w14:font="MS Gothic"/>
                </w14:checkbox>
              </w:sdtPr>
              <w:sdtEndPr/>
              <w:sdtContent>
                <w:r w:rsidR="000C7F20">
                  <w:rPr>
                    <w:rFonts w:ascii="MS Gothic" w:eastAsia="MS Gothic" w:hAnsi="MS Gothic" w:hint="eastAsia"/>
                  </w:rPr>
                  <w:t>☐</w:t>
                </w:r>
              </w:sdtContent>
            </w:sdt>
            <w:r w:rsidR="000C7F20">
              <w:t xml:space="preserve"> The results of the RP analysis;</w:t>
            </w:r>
          </w:p>
          <w:p w14:paraId="2DFBF6D2" w14:textId="626D1A53" w:rsidR="00747DBA" w:rsidRDefault="002E7B5B" w:rsidP="000C7F20">
            <w:pPr>
              <w:ind w:left="854" w:hanging="247"/>
            </w:pPr>
            <w:sdt>
              <w:sdtPr>
                <w:id w:val="-1408840018"/>
                <w14:checkbox>
                  <w14:checked w14:val="0"/>
                  <w14:checkedState w14:val="2612" w14:font="MS Gothic"/>
                  <w14:uncheckedState w14:val="2610" w14:font="MS Gothic"/>
                </w14:checkbox>
              </w:sdtPr>
              <w:sdtEndPr/>
              <w:sdtContent>
                <w:r w:rsidR="000C7F20">
                  <w:rPr>
                    <w:rFonts w:ascii="MS Gothic" w:eastAsia="MS Gothic" w:hAnsi="MS Gothic" w:hint="eastAsia"/>
                  </w:rPr>
                  <w:t>☐</w:t>
                </w:r>
              </w:sdtContent>
            </w:sdt>
            <w:r w:rsidR="000C7F20">
              <w:t xml:space="preserve"> A </w:t>
            </w:r>
            <w:r w:rsidR="00747DBA">
              <w:t>mixing zone or dilution allowance</w:t>
            </w:r>
            <w:r w:rsidR="000C7F20">
              <w:t xml:space="preserve">, </w:t>
            </w:r>
            <w:r w:rsidR="00747DBA">
              <w:t xml:space="preserve">and the basis for such allowable mixing in accordance with </w:t>
            </w:r>
            <w:hyperlink r:id="rId32" w:anchor="p-122.44(d)(1)(ii):~:text=for%20water%20quality.-,(ii),where%20appropriate%2C%20the%20dilution%20of%20the%20effluent%20in%20the%20receiving%20water.,-(iii)" w:history="1">
              <w:r w:rsidR="0048640A">
                <w:rPr>
                  <w:rStyle w:val="Hyperlink"/>
                </w:rPr>
                <w:t xml:space="preserve">40 CFR </w:t>
              </w:r>
              <w:r w:rsidR="00747DBA" w:rsidRPr="00C70F6D">
                <w:rPr>
                  <w:rStyle w:val="Hyperlink"/>
                </w:rPr>
                <w:t>122.44(d)(1)(ii)</w:t>
              </w:r>
            </w:hyperlink>
            <w:r w:rsidR="00747DBA">
              <w:t>, including the underlying calculations and data</w:t>
            </w:r>
            <w:r w:rsidR="00191EC3">
              <w:t xml:space="preserve">; </w:t>
            </w:r>
          </w:p>
          <w:p w14:paraId="3638AD22" w14:textId="0B95EC4F" w:rsidR="00747DBA" w:rsidRDefault="002E7B5B" w:rsidP="00141E0B">
            <w:pPr>
              <w:ind w:left="854" w:hanging="247"/>
            </w:pPr>
            <w:sdt>
              <w:sdtPr>
                <w:id w:val="29316131"/>
                <w14:checkbox>
                  <w14:checked w14:val="0"/>
                  <w14:checkedState w14:val="2612" w14:font="MS Gothic"/>
                  <w14:uncheckedState w14:val="2610" w14:font="MS Gothic"/>
                </w14:checkbox>
              </w:sdtPr>
              <w:sdtEndPr/>
              <w:sdtContent>
                <w:r w:rsidR="00747DBA">
                  <w:rPr>
                    <w:rFonts w:ascii="MS Gothic" w:eastAsia="MS Gothic" w:hAnsi="MS Gothic" w:hint="eastAsia"/>
                  </w:rPr>
                  <w:t>☐</w:t>
                </w:r>
              </w:sdtContent>
            </w:sdt>
            <w:r w:rsidR="00747DBA">
              <w:t xml:space="preserve"> </w:t>
            </w:r>
            <w:r w:rsidR="00141E0B">
              <w:t>A</w:t>
            </w:r>
            <w:r w:rsidR="00747DBA">
              <w:t xml:space="preserve">ssumptions </w:t>
            </w:r>
            <w:r w:rsidR="001152CC">
              <w:t xml:space="preserve">and requirements </w:t>
            </w:r>
            <w:r w:rsidR="00747DBA">
              <w:t xml:space="preserve">of any WLAs that an EPA-approved or EPA-established </w:t>
            </w:r>
            <w:r w:rsidR="00141E0B">
              <w:t xml:space="preserve">TMDL </w:t>
            </w:r>
            <w:r w:rsidR="00747DBA">
              <w:t>has assigned to the discharge</w:t>
            </w:r>
            <w:r w:rsidR="00191EC3">
              <w:t xml:space="preserve">; </w:t>
            </w:r>
          </w:p>
          <w:p w14:paraId="3756B8D6" w14:textId="20B69C1F" w:rsidR="00747DBA" w:rsidRDefault="002E7B5B" w:rsidP="00141E0B">
            <w:pPr>
              <w:ind w:left="854" w:hanging="247"/>
            </w:pPr>
            <w:sdt>
              <w:sdtPr>
                <w:id w:val="624279044"/>
                <w14:checkbox>
                  <w14:checked w14:val="0"/>
                  <w14:checkedState w14:val="2612" w14:font="MS Gothic"/>
                  <w14:uncheckedState w14:val="2610" w14:font="MS Gothic"/>
                </w14:checkbox>
              </w:sdtPr>
              <w:sdtEndPr/>
              <w:sdtContent>
                <w:r w:rsidR="00747DBA">
                  <w:rPr>
                    <w:rFonts w:ascii="MS Gothic" w:eastAsia="MS Gothic" w:hAnsi="MS Gothic" w:hint="eastAsia"/>
                  </w:rPr>
                  <w:t>☐</w:t>
                </w:r>
              </w:sdtContent>
            </w:sdt>
            <w:r w:rsidR="00747DBA">
              <w:t xml:space="preserve"> </w:t>
            </w:r>
            <w:r w:rsidR="00141E0B">
              <w:t>A</w:t>
            </w:r>
            <w:r w:rsidR="00747DBA">
              <w:t xml:space="preserve">pplicable state narrative water quality criteria consistent with </w:t>
            </w:r>
            <w:hyperlink r:id="rId33" w:anchor="p-122.44(d)(1)(ii):~:text=whole%20effluent%20toxicity.-,(v),attain%20and%20maintain%20applicable%20numeric%20and%20narrative%20State%20water%20quality%20standards.,-(vi)" w:history="1">
              <w:r w:rsidR="0048640A">
                <w:rPr>
                  <w:rStyle w:val="Hyperlink"/>
                </w:rPr>
                <w:t>40</w:t>
              </w:r>
              <w:r w:rsidR="00141E0B">
                <w:rPr>
                  <w:rStyle w:val="Hyperlink"/>
                </w:rPr>
                <w:t> CFR </w:t>
              </w:r>
              <w:r w:rsidR="00747DBA" w:rsidRPr="00C70F6D">
                <w:rPr>
                  <w:rStyle w:val="Hyperlink"/>
                </w:rPr>
                <w:t>122.44(d)(1)(v)</w:t>
              </w:r>
            </w:hyperlink>
            <w:r w:rsidR="00747DBA">
              <w:t xml:space="preserve"> and </w:t>
            </w:r>
            <w:hyperlink r:id="rId34" w:anchor="p-122.44(d)(1)(ii):~:text=(vi),water%20quality%20standards." w:history="1">
              <w:r w:rsidR="00747DBA" w:rsidRPr="00C70F6D">
                <w:rPr>
                  <w:rStyle w:val="Hyperlink"/>
                </w:rPr>
                <w:t>(d)(1)(vi)</w:t>
              </w:r>
            </w:hyperlink>
            <w:r w:rsidR="00191EC3">
              <w:t xml:space="preserve">; </w:t>
            </w:r>
          </w:p>
          <w:p w14:paraId="3DB4F715" w14:textId="132AD9C9" w:rsidR="005F6EFF" w:rsidRPr="00C83F95" w:rsidRDefault="002E7B5B" w:rsidP="005F6EFF">
            <w:pPr>
              <w:ind w:left="854" w:hanging="247"/>
            </w:pPr>
            <w:sdt>
              <w:sdtPr>
                <w:id w:val="1673994789"/>
                <w14:checkbox>
                  <w14:checked w14:val="0"/>
                  <w14:checkedState w14:val="2612" w14:font="MS Gothic"/>
                  <w14:uncheckedState w14:val="2610" w14:font="MS Gothic"/>
                </w14:checkbox>
              </w:sdtPr>
              <w:sdtEndPr/>
              <w:sdtContent>
                <w:r w:rsidR="005F6EFF" w:rsidRPr="00C83F95">
                  <w:rPr>
                    <w:rFonts w:ascii="Segoe UI Symbol" w:hAnsi="Segoe UI Symbol" w:cs="Segoe UI Symbol"/>
                  </w:rPr>
                  <w:t>☐</w:t>
                </w:r>
              </w:sdtContent>
            </w:sdt>
            <w:r w:rsidR="005F6EFF">
              <w:t xml:space="preserve"> A</w:t>
            </w:r>
            <w:r w:rsidR="005F6EFF" w:rsidRPr="00C83F95">
              <w:t xml:space="preserve"> </w:t>
            </w:r>
            <w:r w:rsidR="005F6EFF">
              <w:t>WQS</w:t>
            </w:r>
            <w:r w:rsidR="005F6EFF" w:rsidRPr="00C83F95">
              <w:t xml:space="preserve"> variance, including discussion of the highest attainable condition (HAC) and any alternate criteria used to calculate the WQBEL, as well as the basis for any special conditions required by the variance</w:t>
            </w:r>
            <w:r w:rsidR="00191EC3">
              <w:t>; and</w:t>
            </w:r>
          </w:p>
          <w:p w14:paraId="56F7B9E1" w14:textId="4D7B6B2C" w:rsidR="00747DBA" w:rsidRPr="00A468EB" w:rsidRDefault="002E7B5B" w:rsidP="005F6EFF">
            <w:pPr>
              <w:ind w:left="854" w:hanging="247"/>
            </w:pPr>
            <w:sdt>
              <w:sdtPr>
                <w:id w:val="1681315456"/>
                <w14:checkbox>
                  <w14:checked w14:val="0"/>
                  <w14:checkedState w14:val="2612" w14:font="MS Gothic"/>
                  <w14:uncheckedState w14:val="2610" w14:font="MS Gothic"/>
                </w14:checkbox>
              </w:sdtPr>
              <w:sdtEndPr/>
              <w:sdtContent>
                <w:r w:rsidR="00747DBA">
                  <w:rPr>
                    <w:rFonts w:ascii="MS Gothic" w:eastAsia="MS Gothic" w:hAnsi="MS Gothic" w:hint="eastAsia"/>
                  </w:rPr>
                  <w:t>☐</w:t>
                </w:r>
              </w:sdtContent>
            </w:sdt>
            <w:r w:rsidR="00747DBA">
              <w:t xml:space="preserve"> </w:t>
            </w:r>
            <w:r w:rsidR="005F6EFF">
              <w:t>A</w:t>
            </w:r>
            <w:r w:rsidR="00747DBA">
              <w:t>mbient water quality conditions and the impacts from other dischargers to the receiving waters.</w:t>
            </w:r>
          </w:p>
        </w:tc>
        <w:tc>
          <w:tcPr>
            <w:tcW w:w="3150" w:type="dxa"/>
            <w:tcBorders>
              <w:left w:val="dashed" w:sz="4" w:space="0" w:color="auto"/>
              <w:bottom w:val="single" w:sz="4" w:space="0" w:color="auto"/>
            </w:tcBorders>
            <w:shd w:val="clear" w:color="auto" w:fill="FFFFFF" w:themeFill="background1"/>
            <w:vAlign w:val="center"/>
          </w:tcPr>
          <w:p w14:paraId="2C1EE2E0" w14:textId="77777777" w:rsidR="00D52FE2" w:rsidRDefault="002E7B5B" w:rsidP="00D52FE2">
            <w:pPr>
              <w:pStyle w:val="NoSpacing"/>
              <w:ind w:left="616" w:hanging="240"/>
            </w:pPr>
            <w:hyperlink r:id="rId35" w:anchor=":~:text=Any%20calculations%20or,limitations%20were%20developed." w:history="1">
              <w:r w:rsidR="00747DBA" w:rsidRPr="005152A0">
                <w:rPr>
                  <w:rStyle w:val="Hyperlink"/>
                </w:rPr>
                <w:t>§124.56(a)</w:t>
              </w:r>
            </w:hyperlink>
          </w:p>
          <w:p w14:paraId="0B6E0CD2" w14:textId="77777777" w:rsidR="00D52FE2" w:rsidRDefault="00D52FE2" w:rsidP="00D52FE2">
            <w:pPr>
              <w:pStyle w:val="NoSpacing"/>
              <w:ind w:left="616" w:hanging="240"/>
            </w:pPr>
          </w:p>
          <w:p w14:paraId="27179582" w14:textId="77777777" w:rsidR="00D52FE2" w:rsidRDefault="00D52FE2" w:rsidP="00D52FE2">
            <w:pPr>
              <w:pStyle w:val="NoSpacing"/>
              <w:ind w:left="616" w:hanging="240"/>
            </w:pPr>
          </w:p>
          <w:p w14:paraId="2425113C" w14:textId="77777777" w:rsidR="00D52FE2" w:rsidRDefault="00D52FE2" w:rsidP="00D52FE2">
            <w:pPr>
              <w:pStyle w:val="NoSpacing"/>
              <w:ind w:left="616" w:hanging="240"/>
            </w:pPr>
          </w:p>
          <w:p w14:paraId="716F31CF" w14:textId="77777777" w:rsidR="00D52FE2" w:rsidRDefault="00D52FE2" w:rsidP="00D52FE2">
            <w:pPr>
              <w:pStyle w:val="NoSpacing"/>
              <w:ind w:left="616" w:hanging="240"/>
            </w:pPr>
          </w:p>
          <w:p w14:paraId="613B75B4" w14:textId="77777777" w:rsidR="00D52FE2" w:rsidRDefault="00D52FE2" w:rsidP="00D52FE2">
            <w:pPr>
              <w:pStyle w:val="NoSpacing"/>
              <w:ind w:left="616" w:hanging="240"/>
            </w:pPr>
          </w:p>
          <w:p w14:paraId="246D24A6" w14:textId="77777777" w:rsidR="00D52FE2" w:rsidRDefault="00D52FE2" w:rsidP="00D52FE2">
            <w:pPr>
              <w:pStyle w:val="NoSpacing"/>
              <w:ind w:left="616" w:hanging="240"/>
            </w:pPr>
          </w:p>
          <w:p w14:paraId="7B521773" w14:textId="77777777" w:rsidR="00962EF8" w:rsidRDefault="00962EF8" w:rsidP="00D52FE2">
            <w:pPr>
              <w:pStyle w:val="NoSpacing"/>
              <w:ind w:left="616" w:hanging="240"/>
            </w:pPr>
          </w:p>
          <w:p w14:paraId="30166B98" w14:textId="77777777" w:rsidR="00962EF8" w:rsidRDefault="00962EF8" w:rsidP="00D52FE2">
            <w:pPr>
              <w:pStyle w:val="NoSpacing"/>
              <w:ind w:left="616" w:hanging="240"/>
            </w:pPr>
          </w:p>
          <w:p w14:paraId="6425E14D" w14:textId="77777777" w:rsidR="00D52FE2" w:rsidRDefault="00D52FE2" w:rsidP="00D52FE2">
            <w:pPr>
              <w:pStyle w:val="NoSpacing"/>
              <w:ind w:left="616" w:hanging="240"/>
            </w:pPr>
          </w:p>
          <w:p w14:paraId="05F6BCB7" w14:textId="77777777" w:rsidR="00D52FE2" w:rsidRDefault="00D52FE2" w:rsidP="00D52FE2">
            <w:pPr>
              <w:pStyle w:val="NoSpacing"/>
              <w:ind w:left="616" w:hanging="240"/>
            </w:pPr>
          </w:p>
          <w:p w14:paraId="50792462" w14:textId="77777777" w:rsidR="00D52FE2" w:rsidRDefault="00D52FE2" w:rsidP="00D52FE2">
            <w:pPr>
              <w:pStyle w:val="NoSpacing"/>
              <w:ind w:left="616" w:hanging="240"/>
            </w:pPr>
          </w:p>
          <w:p w14:paraId="6E396909" w14:textId="77777777" w:rsidR="00D52FE2" w:rsidRDefault="00D52FE2" w:rsidP="00D52FE2">
            <w:pPr>
              <w:pStyle w:val="NoSpacing"/>
              <w:ind w:left="616" w:hanging="240"/>
            </w:pPr>
          </w:p>
          <w:p w14:paraId="3FA36101" w14:textId="77777777" w:rsidR="00D52FE2" w:rsidRDefault="00D52FE2" w:rsidP="00D52FE2">
            <w:pPr>
              <w:pStyle w:val="NoSpacing"/>
              <w:ind w:left="616" w:hanging="240"/>
            </w:pPr>
          </w:p>
          <w:p w14:paraId="714FCB48" w14:textId="77777777" w:rsidR="00D52FE2" w:rsidRDefault="00D52FE2" w:rsidP="00D52FE2">
            <w:pPr>
              <w:pStyle w:val="NoSpacing"/>
              <w:ind w:left="616" w:hanging="240"/>
            </w:pPr>
          </w:p>
          <w:p w14:paraId="0CD1BBF6" w14:textId="77777777" w:rsidR="00D52FE2" w:rsidRDefault="00D52FE2" w:rsidP="00D52FE2">
            <w:pPr>
              <w:pStyle w:val="NoSpacing"/>
              <w:ind w:left="616" w:hanging="240"/>
            </w:pPr>
          </w:p>
          <w:p w14:paraId="26F17FF9" w14:textId="77777777" w:rsidR="00D52FE2" w:rsidRDefault="00D52FE2" w:rsidP="00D52FE2">
            <w:pPr>
              <w:pStyle w:val="NoSpacing"/>
              <w:ind w:left="616" w:hanging="240"/>
            </w:pPr>
          </w:p>
          <w:p w14:paraId="72EB2677" w14:textId="77777777" w:rsidR="00D52FE2" w:rsidRDefault="00D52FE2" w:rsidP="00D52FE2">
            <w:pPr>
              <w:pStyle w:val="NoSpacing"/>
              <w:ind w:left="616" w:hanging="240"/>
            </w:pPr>
          </w:p>
          <w:p w14:paraId="7DEEF3CC" w14:textId="77777777" w:rsidR="00D52FE2" w:rsidRDefault="00D52FE2" w:rsidP="00D52FE2">
            <w:pPr>
              <w:pStyle w:val="NoSpacing"/>
              <w:ind w:left="616" w:hanging="240"/>
            </w:pPr>
          </w:p>
          <w:p w14:paraId="087BFA78" w14:textId="77777777" w:rsidR="00D52FE2" w:rsidRDefault="00D52FE2" w:rsidP="00D52FE2">
            <w:pPr>
              <w:pStyle w:val="NoSpacing"/>
              <w:ind w:left="616" w:hanging="240"/>
            </w:pPr>
          </w:p>
          <w:p w14:paraId="78A2CB4B" w14:textId="37F2787A" w:rsidR="00455DA1" w:rsidRPr="00D52FE2" w:rsidRDefault="00455DA1" w:rsidP="005E45DF">
            <w:pPr>
              <w:pStyle w:val="NoSpacing"/>
              <w:rPr>
                <w:color w:val="0563C1" w:themeColor="hyperlink"/>
                <w:u w:val="single"/>
              </w:rPr>
            </w:pPr>
          </w:p>
        </w:tc>
      </w:tr>
    </w:tbl>
    <w:p w14:paraId="62352B80" w14:textId="77777777" w:rsidR="00962EF8" w:rsidRDefault="00962EF8">
      <w:r>
        <w:br w:type="page"/>
      </w:r>
    </w:p>
    <w:tbl>
      <w:tblPr>
        <w:tblStyle w:val="TableGrid"/>
        <w:tblW w:w="0" w:type="auto"/>
        <w:tblLayout w:type="fixed"/>
        <w:tblLook w:val="04A0" w:firstRow="1" w:lastRow="0" w:firstColumn="1" w:lastColumn="0" w:noHBand="0" w:noVBand="1"/>
      </w:tblPr>
      <w:tblGrid>
        <w:gridCol w:w="7470"/>
        <w:gridCol w:w="1890"/>
      </w:tblGrid>
      <w:tr w:rsidR="00235C02" w:rsidRPr="00306E4E" w14:paraId="4E662621" w14:textId="77777777" w:rsidTr="00962EF8">
        <w:tc>
          <w:tcPr>
            <w:tcW w:w="9360" w:type="dxa"/>
            <w:gridSpan w:val="2"/>
            <w:tcBorders>
              <w:top w:val="nil"/>
              <w:left w:val="nil"/>
              <w:bottom w:val="single" w:sz="4" w:space="0" w:color="auto"/>
              <w:right w:val="nil"/>
            </w:tcBorders>
            <w:shd w:val="clear" w:color="auto" w:fill="auto"/>
          </w:tcPr>
          <w:p w14:paraId="2B82A7A5" w14:textId="672A70C5" w:rsidR="00235C02" w:rsidRDefault="00235C02" w:rsidP="005E45DF">
            <w:pPr>
              <w:pStyle w:val="NoSpacing"/>
              <w:rPr>
                <w:b/>
                <w:bCs/>
              </w:rPr>
            </w:pPr>
          </w:p>
        </w:tc>
      </w:tr>
      <w:tr w:rsidR="00747DBA" w:rsidRPr="00306E4E" w14:paraId="48455923" w14:textId="77777777" w:rsidTr="00292915">
        <w:tc>
          <w:tcPr>
            <w:tcW w:w="9360" w:type="dxa"/>
            <w:gridSpan w:val="2"/>
            <w:tcBorders>
              <w:bottom w:val="single" w:sz="4" w:space="0" w:color="auto"/>
            </w:tcBorders>
            <w:shd w:val="clear" w:color="auto" w:fill="C5E0B3" w:themeFill="accent6" w:themeFillTint="66"/>
          </w:tcPr>
          <w:p w14:paraId="69FDCA43" w14:textId="1178B3F1" w:rsidR="00747DBA" w:rsidRPr="0033259D" w:rsidRDefault="0037790C" w:rsidP="005E45DF">
            <w:pPr>
              <w:pStyle w:val="NoSpacing"/>
              <w:rPr>
                <w:b/>
                <w:bCs/>
              </w:rPr>
            </w:pPr>
            <w:r>
              <w:rPr>
                <w:b/>
                <w:bCs/>
              </w:rPr>
              <w:t>Additional Fact Sheet Requirements for Technology-Based Limitations</w:t>
            </w:r>
          </w:p>
        </w:tc>
      </w:tr>
      <w:tr w:rsidR="00A80079" w:rsidRPr="00FA7B74" w14:paraId="1F23B8B1" w14:textId="77777777" w:rsidTr="00292915">
        <w:tc>
          <w:tcPr>
            <w:tcW w:w="7470" w:type="dxa"/>
            <w:tcBorders>
              <w:right w:val="dashed" w:sz="4" w:space="0" w:color="auto"/>
            </w:tcBorders>
            <w:shd w:val="clear" w:color="auto" w:fill="auto"/>
            <w:vAlign w:val="center"/>
          </w:tcPr>
          <w:p w14:paraId="1CE0A212" w14:textId="7E2AF8F1" w:rsidR="00A80079" w:rsidRDefault="00A80079" w:rsidP="00E61A4E">
            <w:pPr>
              <w:pStyle w:val="NoSpacing"/>
              <w:ind w:left="240" w:hanging="240"/>
            </w:pPr>
            <w:r>
              <w:t>When the draft permit includes any of the following conditions, an explanation of why they are applicable:</w:t>
            </w:r>
          </w:p>
        </w:tc>
        <w:tc>
          <w:tcPr>
            <w:tcW w:w="1890" w:type="dxa"/>
            <w:tcBorders>
              <w:left w:val="dashed" w:sz="4" w:space="0" w:color="auto"/>
            </w:tcBorders>
            <w:shd w:val="clear" w:color="auto" w:fill="FFFFFF" w:themeFill="background1"/>
            <w:vAlign w:val="center"/>
          </w:tcPr>
          <w:p w14:paraId="70B65D3C" w14:textId="77777777" w:rsidR="00A80079" w:rsidRDefault="00A80079" w:rsidP="005E45DF">
            <w:pPr>
              <w:pStyle w:val="NoSpacing"/>
              <w:ind w:left="240" w:hanging="240"/>
            </w:pPr>
          </w:p>
        </w:tc>
      </w:tr>
      <w:tr w:rsidR="00747DBA" w:rsidRPr="00FA7B74" w14:paraId="4F1156ED" w14:textId="77777777" w:rsidTr="00292915">
        <w:tc>
          <w:tcPr>
            <w:tcW w:w="7470" w:type="dxa"/>
            <w:tcBorders>
              <w:right w:val="dashed" w:sz="4" w:space="0" w:color="auto"/>
            </w:tcBorders>
            <w:shd w:val="clear" w:color="auto" w:fill="auto"/>
            <w:vAlign w:val="center"/>
          </w:tcPr>
          <w:p w14:paraId="135EB4CB" w14:textId="3D5F4A54" w:rsidR="004215FB" w:rsidRPr="004215FB" w:rsidRDefault="002E7B5B" w:rsidP="00E61A4E">
            <w:pPr>
              <w:pStyle w:val="NoSpacing"/>
              <w:ind w:left="240" w:hanging="240"/>
              <w:rPr>
                <w:i/>
                <w:iCs/>
              </w:rPr>
            </w:pPr>
            <w:sdt>
              <w:sdtPr>
                <w:id w:val="-141806157"/>
                <w14:checkbox>
                  <w14:checked w14:val="0"/>
                  <w14:checkedState w14:val="2612" w14:font="MS Gothic"/>
                  <w14:uncheckedState w14:val="2610" w14:font="MS Gothic"/>
                </w14:checkbox>
              </w:sdtPr>
              <w:sdtEndPr/>
              <w:sdtContent>
                <w:r w:rsidR="00747DBA">
                  <w:rPr>
                    <w:rFonts w:ascii="MS Gothic" w:eastAsia="MS Gothic" w:hAnsi="MS Gothic" w:hint="eastAsia"/>
                  </w:rPr>
                  <w:t>☐</w:t>
                </w:r>
              </w:sdtContent>
            </w:sdt>
            <w:r w:rsidR="00747DBA">
              <w:t xml:space="preserve"> </w:t>
            </w:r>
            <w:r w:rsidR="00A80079">
              <w:t>T</w:t>
            </w:r>
            <w:r w:rsidR="00A62DBC">
              <w:t xml:space="preserve">echnology-based limits on toxic pollutants under </w:t>
            </w:r>
            <w:hyperlink r:id="rId36" w:anchor="p-122.44(e):~:text=(e),125.3(c)." w:history="1">
              <w:r w:rsidR="0048640A">
                <w:rPr>
                  <w:rStyle w:val="Hyperlink"/>
                </w:rPr>
                <w:t xml:space="preserve">40 CFR </w:t>
              </w:r>
              <w:r w:rsidR="00747DBA" w:rsidRPr="00C70F6D">
                <w:rPr>
                  <w:rStyle w:val="Hyperlink"/>
                </w:rPr>
                <w:t>122.44(e)</w:t>
              </w:r>
            </w:hyperlink>
            <w:r w:rsidR="00747DBA">
              <w:t>.</w:t>
            </w:r>
            <w:r w:rsidR="00B915D6">
              <w:rPr>
                <w:rStyle w:val="EndnoteReference"/>
              </w:rPr>
              <w:endnoteReference w:id="5"/>
            </w:r>
          </w:p>
        </w:tc>
        <w:tc>
          <w:tcPr>
            <w:tcW w:w="1890" w:type="dxa"/>
            <w:tcBorders>
              <w:left w:val="dashed" w:sz="4" w:space="0" w:color="auto"/>
            </w:tcBorders>
            <w:shd w:val="clear" w:color="auto" w:fill="FFFFFF" w:themeFill="background1"/>
            <w:vAlign w:val="center"/>
          </w:tcPr>
          <w:p w14:paraId="334A93B5" w14:textId="056CFCA3" w:rsidR="00747DBA" w:rsidRPr="00FA7B74" w:rsidRDefault="002E7B5B" w:rsidP="005E45DF">
            <w:pPr>
              <w:pStyle w:val="NoSpacing"/>
              <w:ind w:left="240" w:hanging="240"/>
            </w:pPr>
            <w:hyperlink r:id="rId37" w:anchor=":~:text=Limitations%20to%20control%20toxic%20pollutants%20under%20%C2%A7%20122.44(e)%20of%20this%20chapter" w:history="1">
              <w:bookmarkStart w:id="7" w:name="_Hlk167264443"/>
              <w:r w:rsidR="00747DBA" w:rsidRPr="005152A0">
                <w:rPr>
                  <w:rStyle w:val="Hyperlink"/>
                </w:rPr>
                <w:t>§</w:t>
              </w:r>
              <w:bookmarkEnd w:id="7"/>
              <w:r w:rsidR="00747DBA" w:rsidRPr="005152A0">
                <w:rPr>
                  <w:rStyle w:val="Hyperlink"/>
                </w:rPr>
                <w:t>124.56(b)(1)(i)</w:t>
              </w:r>
            </w:hyperlink>
          </w:p>
        </w:tc>
      </w:tr>
      <w:tr w:rsidR="00747DBA" w:rsidRPr="00FA7B74" w14:paraId="7354CC30" w14:textId="77777777" w:rsidTr="001A5859">
        <w:tc>
          <w:tcPr>
            <w:tcW w:w="7470" w:type="dxa"/>
            <w:tcBorders>
              <w:right w:val="dashed" w:sz="4" w:space="0" w:color="auto"/>
            </w:tcBorders>
            <w:shd w:val="clear" w:color="auto" w:fill="FFFFFF" w:themeFill="background1"/>
            <w:vAlign w:val="center"/>
          </w:tcPr>
          <w:p w14:paraId="36B64053" w14:textId="0E46C487" w:rsidR="00747DBA" w:rsidRDefault="002E7B5B" w:rsidP="001A5859">
            <w:pPr>
              <w:pStyle w:val="NoSpacing"/>
              <w:ind w:left="240" w:hanging="240"/>
            </w:pPr>
            <w:sdt>
              <w:sdtPr>
                <w:id w:val="978350967"/>
                <w14:checkbox>
                  <w14:checked w14:val="0"/>
                  <w14:checkedState w14:val="2612" w14:font="MS Gothic"/>
                  <w14:uncheckedState w14:val="2610" w14:font="MS Gothic"/>
                </w14:checkbox>
              </w:sdtPr>
              <w:sdtEndPr/>
              <w:sdtContent>
                <w:r w:rsidR="00747DBA">
                  <w:rPr>
                    <w:rFonts w:ascii="MS Gothic" w:eastAsia="MS Gothic" w:hAnsi="MS Gothic" w:hint="eastAsia"/>
                  </w:rPr>
                  <w:t>☐</w:t>
                </w:r>
              </w:sdtContent>
            </w:sdt>
            <w:r w:rsidR="00747DBA">
              <w:t xml:space="preserve"> </w:t>
            </w:r>
            <w:r w:rsidR="00A80079">
              <w:t>L</w:t>
            </w:r>
            <w:r w:rsidR="00747DBA">
              <w:t xml:space="preserve">imitations </w:t>
            </w:r>
            <w:r w:rsidR="00747DBA" w:rsidRPr="00174CDE">
              <w:t xml:space="preserve">on internal waste streams, under </w:t>
            </w:r>
            <w:hyperlink r:id="rId38" w:anchor="p-122.45(h):~:text=(h),or%20analysis%20impracticable." w:history="1">
              <w:r w:rsidR="008F1AD9" w:rsidRPr="00B6063E">
                <w:rPr>
                  <w:rStyle w:val="Hyperlink"/>
                </w:rPr>
                <w:t xml:space="preserve">40 CFR </w:t>
              </w:r>
              <w:r w:rsidR="00747DBA" w:rsidRPr="00B6063E">
                <w:rPr>
                  <w:rStyle w:val="Hyperlink"/>
                </w:rPr>
                <w:t>122.45(h)</w:t>
              </w:r>
            </w:hyperlink>
            <w:r w:rsidR="00747DBA">
              <w:t>.</w:t>
            </w:r>
            <w:r w:rsidR="00D72B9F" w:rsidRPr="001A5859">
              <w:rPr>
                <w:rStyle w:val="EndnoteReference"/>
              </w:rPr>
              <w:endnoteReference w:id="6"/>
            </w:r>
          </w:p>
        </w:tc>
        <w:tc>
          <w:tcPr>
            <w:tcW w:w="1890" w:type="dxa"/>
            <w:tcBorders>
              <w:left w:val="dashed" w:sz="4" w:space="0" w:color="auto"/>
            </w:tcBorders>
            <w:shd w:val="clear" w:color="auto" w:fill="FFFFFF" w:themeFill="background1"/>
            <w:vAlign w:val="center"/>
          </w:tcPr>
          <w:p w14:paraId="08CE746A" w14:textId="62DEFC15" w:rsidR="00747DBA" w:rsidRPr="00FA7B74" w:rsidRDefault="002E7B5B" w:rsidP="005E45DF">
            <w:pPr>
              <w:pStyle w:val="NoSpacing"/>
              <w:ind w:left="240" w:hanging="240"/>
            </w:pPr>
            <w:hyperlink r:id="rId39" w:anchor=":~:text=Limitations%20on%20internal%20waste%20streams%20under%20%C2%A7%20122.45(i)%20of%20this%20chapter%3B" w:history="1">
              <w:r w:rsidR="00747DBA" w:rsidRPr="005152A0">
                <w:rPr>
                  <w:rStyle w:val="Hyperlink"/>
                </w:rPr>
                <w:t>§124.56(b)(1)(ii)</w:t>
              </w:r>
            </w:hyperlink>
            <w:r w:rsidR="00B2366F" w:rsidRPr="00FA7B74">
              <w:t xml:space="preserve"> </w:t>
            </w:r>
          </w:p>
        </w:tc>
      </w:tr>
      <w:tr w:rsidR="00747DBA" w:rsidRPr="00FA7B74" w14:paraId="75C761FC" w14:textId="77777777" w:rsidTr="001A5859">
        <w:tc>
          <w:tcPr>
            <w:tcW w:w="7470" w:type="dxa"/>
            <w:tcBorders>
              <w:right w:val="dashed" w:sz="4" w:space="0" w:color="auto"/>
            </w:tcBorders>
            <w:shd w:val="clear" w:color="auto" w:fill="FFFFFF" w:themeFill="background1"/>
            <w:vAlign w:val="center"/>
          </w:tcPr>
          <w:p w14:paraId="4C84233D" w14:textId="17818AF8" w:rsidR="00747DBA" w:rsidRDefault="002E7B5B" w:rsidP="007551B7">
            <w:pPr>
              <w:pStyle w:val="NoSpacing"/>
              <w:ind w:left="240" w:hanging="240"/>
            </w:pPr>
            <w:sdt>
              <w:sdtPr>
                <w:id w:val="2010170987"/>
                <w14:checkbox>
                  <w14:checked w14:val="0"/>
                  <w14:checkedState w14:val="2612" w14:font="MS Gothic"/>
                  <w14:uncheckedState w14:val="2610" w14:font="MS Gothic"/>
                </w14:checkbox>
              </w:sdtPr>
              <w:sdtEndPr/>
              <w:sdtContent>
                <w:r w:rsidR="00747DBA">
                  <w:rPr>
                    <w:rFonts w:ascii="MS Gothic" w:eastAsia="MS Gothic" w:hAnsi="MS Gothic" w:hint="eastAsia"/>
                  </w:rPr>
                  <w:t>☐</w:t>
                </w:r>
              </w:sdtContent>
            </w:sdt>
            <w:r w:rsidR="00747DBA">
              <w:t xml:space="preserve"> </w:t>
            </w:r>
            <w:r w:rsidR="000F486B">
              <w:t>T</w:t>
            </w:r>
            <w:r w:rsidR="00747DBA" w:rsidRPr="00FA7B74">
              <w:t xml:space="preserve">echnology-based limit </w:t>
            </w:r>
            <w:r w:rsidR="00F01413">
              <w:t xml:space="preserve">on a </w:t>
            </w:r>
            <w:r w:rsidR="00F76D29">
              <w:t xml:space="preserve">conventional </w:t>
            </w:r>
            <w:r w:rsidR="009C6D5A">
              <w:t>pollutant</w:t>
            </w:r>
            <w:r w:rsidR="00F01413">
              <w:t xml:space="preserve"> (as an indicator), </w:t>
            </w:r>
            <w:r w:rsidR="009F1EBE">
              <w:t xml:space="preserve">where </w:t>
            </w:r>
            <w:r w:rsidR="00F76D29">
              <w:t xml:space="preserve">more stringent than the </w:t>
            </w:r>
            <w:r w:rsidR="009F1EBE">
              <w:t xml:space="preserve">BCT limit, </w:t>
            </w:r>
            <w:r w:rsidR="00747DBA" w:rsidRPr="00FA7B74">
              <w:t xml:space="preserve">developed </w:t>
            </w:r>
            <w:r w:rsidR="000F486B">
              <w:t xml:space="preserve">under </w:t>
            </w:r>
            <w:hyperlink r:id="rId40" w:anchor="p-125.3(h):~:text=for%20other%20pollutants.-,(h),discharges%20of%20toxic%20pollutants%20above%20levels%20reported%20in%20the%20application%20form).,-(Clean%20Water%20Act" w:history="1">
              <w:r w:rsidR="00747DBA" w:rsidRPr="00A60626">
                <w:rPr>
                  <w:rStyle w:val="Hyperlink"/>
                </w:rPr>
                <w:t>40 CFR 125.3(h)</w:t>
              </w:r>
            </w:hyperlink>
            <w:r w:rsidR="00747DBA">
              <w:t>.</w:t>
            </w:r>
            <w:r w:rsidR="0032224E">
              <w:rPr>
                <w:rStyle w:val="EndnoteReference"/>
              </w:rPr>
              <w:endnoteReference w:id="7"/>
            </w:r>
            <w:r w:rsidR="00747DBA">
              <w:t xml:space="preserve"> </w:t>
            </w:r>
          </w:p>
        </w:tc>
        <w:tc>
          <w:tcPr>
            <w:tcW w:w="1890" w:type="dxa"/>
            <w:tcBorders>
              <w:left w:val="dashed" w:sz="4" w:space="0" w:color="auto"/>
            </w:tcBorders>
            <w:shd w:val="clear" w:color="auto" w:fill="FFFFFF" w:themeFill="background1"/>
            <w:vAlign w:val="center"/>
          </w:tcPr>
          <w:p w14:paraId="0448BEAB" w14:textId="3D796169" w:rsidR="00747DBA" w:rsidRPr="00FA7B74" w:rsidRDefault="002E7B5B" w:rsidP="005E45DF">
            <w:pPr>
              <w:pStyle w:val="NoSpacing"/>
              <w:ind w:left="240" w:hanging="240"/>
            </w:pPr>
            <w:hyperlink r:id="rId41" w:anchor=":~:text=Limitations%20on%20indicator%20pollutants%20under%20%C2%A7%20125.3(g)%20of%20this%20chapter%3B" w:history="1">
              <w:r w:rsidR="00747DBA" w:rsidRPr="005152A0">
                <w:rPr>
                  <w:rStyle w:val="Hyperlink"/>
                </w:rPr>
                <w:t>§124.56(b)(1)(iii)</w:t>
              </w:r>
            </w:hyperlink>
            <w:r w:rsidR="00B2366F" w:rsidRPr="00FA7B74">
              <w:t xml:space="preserve"> </w:t>
            </w:r>
          </w:p>
        </w:tc>
      </w:tr>
      <w:tr w:rsidR="00747DBA" w:rsidRPr="00714A4F" w14:paraId="57955A1D" w14:textId="77777777" w:rsidTr="001A5859">
        <w:tc>
          <w:tcPr>
            <w:tcW w:w="7470" w:type="dxa"/>
            <w:tcBorders>
              <w:right w:val="dashed" w:sz="4" w:space="0" w:color="auto"/>
            </w:tcBorders>
            <w:shd w:val="clear" w:color="auto" w:fill="FFFFFF" w:themeFill="background1"/>
            <w:vAlign w:val="center"/>
          </w:tcPr>
          <w:p w14:paraId="7D0705C4" w14:textId="3BF24F30" w:rsidR="00747DBA" w:rsidRPr="00FA7B74" w:rsidRDefault="002E7B5B" w:rsidP="005E45DF">
            <w:pPr>
              <w:pStyle w:val="NoSpacing"/>
              <w:ind w:left="240" w:hanging="240"/>
            </w:pPr>
            <w:sdt>
              <w:sdtPr>
                <w:id w:val="-1751735273"/>
                <w14:checkbox>
                  <w14:checked w14:val="0"/>
                  <w14:checkedState w14:val="2612" w14:font="MS Gothic"/>
                  <w14:uncheckedState w14:val="2610" w14:font="MS Gothic"/>
                </w14:checkbox>
              </w:sdtPr>
              <w:sdtEndPr/>
              <w:sdtContent>
                <w:r w:rsidR="00747DBA">
                  <w:rPr>
                    <w:rFonts w:ascii="MS Gothic" w:eastAsia="MS Gothic" w:hAnsi="MS Gothic" w:hint="eastAsia"/>
                  </w:rPr>
                  <w:t>☐</w:t>
                </w:r>
              </w:sdtContent>
            </w:sdt>
            <w:r w:rsidR="00747DBA">
              <w:t xml:space="preserve"> </w:t>
            </w:r>
            <w:r w:rsidR="000F486B">
              <w:t>C</w:t>
            </w:r>
            <w:r w:rsidR="00747DBA" w:rsidRPr="00FA7B74">
              <w:t xml:space="preserve">ase-by-case limits based on </w:t>
            </w:r>
            <w:r w:rsidR="00536718">
              <w:t xml:space="preserve">BPJ, </w:t>
            </w:r>
            <w:r w:rsidR="00747DBA" w:rsidRPr="00FA7B74">
              <w:t xml:space="preserve">derived in accordance with </w:t>
            </w:r>
            <w:hyperlink r:id="rId42" w:anchor="p-125.3(d):~:text=deadline%20(subpart%20C).-,(c),example%2C%20technology%2Dbased%20or%20water%2Dquality%2Dbased%20standards)%20of%20the%20Act.,-(d)" w:history="1">
              <w:r w:rsidR="00747DBA" w:rsidRPr="00D50C14">
                <w:rPr>
                  <w:rStyle w:val="Hyperlink"/>
                </w:rPr>
                <w:t>40 CFR 125.3(c)</w:t>
              </w:r>
            </w:hyperlink>
            <w:r w:rsidR="00747DBA">
              <w:t>.</w:t>
            </w:r>
          </w:p>
        </w:tc>
        <w:tc>
          <w:tcPr>
            <w:tcW w:w="1890" w:type="dxa"/>
            <w:tcBorders>
              <w:left w:val="dashed" w:sz="4" w:space="0" w:color="auto"/>
            </w:tcBorders>
            <w:shd w:val="clear" w:color="auto" w:fill="FFFFFF" w:themeFill="background1"/>
            <w:vAlign w:val="center"/>
          </w:tcPr>
          <w:p w14:paraId="11752EE9" w14:textId="01A703C7" w:rsidR="00747DBA" w:rsidRPr="00714A4F" w:rsidRDefault="002E7B5B" w:rsidP="005E45DF">
            <w:pPr>
              <w:pStyle w:val="NoSpacing"/>
              <w:ind w:left="240" w:hanging="240"/>
            </w:pPr>
            <w:hyperlink r:id="rId43" w:anchor=":~:text=Limitations%20set%20on%20a%20case%2Dby%2Dcase%20basis%20under%20%C2%A7%20125.3%20(c)(2)%20or%20(c)(3)%20of%20this%20chapter%2C%20or%20pursuant%20to%20Section%20405(d)(4)%20of%20the%20CWA%3B" w:history="1">
              <w:r w:rsidR="00747DBA" w:rsidRPr="005152A0">
                <w:rPr>
                  <w:rStyle w:val="Hyperlink"/>
                </w:rPr>
                <w:t>§124.56(b)(1)(iv)</w:t>
              </w:r>
            </w:hyperlink>
          </w:p>
        </w:tc>
      </w:tr>
      <w:tr w:rsidR="00747DBA" w:rsidRPr="00FA7B74" w14:paraId="43B9C287" w14:textId="77777777" w:rsidTr="009C6D5A">
        <w:tc>
          <w:tcPr>
            <w:tcW w:w="7470" w:type="dxa"/>
            <w:tcBorders>
              <w:bottom w:val="single" w:sz="4" w:space="0" w:color="auto"/>
              <w:right w:val="dashed" w:sz="4" w:space="0" w:color="auto"/>
            </w:tcBorders>
            <w:shd w:val="clear" w:color="auto" w:fill="FFFFFF" w:themeFill="background1"/>
            <w:vAlign w:val="center"/>
          </w:tcPr>
          <w:p w14:paraId="2D509378" w14:textId="3EDAAA22" w:rsidR="00747DBA" w:rsidRPr="007551B7" w:rsidRDefault="002E7B5B" w:rsidP="007551B7">
            <w:pPr>
              <w:pStyle w:val="NoSpacing"/>
              <w:ind w:left="240" w:hanging="240"/>
            </w:pPr>
            <w:sdt>
              <w:sdtPr>
                <w:id w:val="1622257408"/>
                <w14:checkbox>
                  <w14:checked w14:val="0"/>
                  <w14:checkedState w14:val="2612" w14:font="MS Gothic"/>
                  <w14:uncheckedState w14:val="2610" w14:font="MS Gothic"/>
                </w14:checkbox>
              </w:sdtPr>
              <w:sdtEndPr/>
              <w:sdtContent>
                <w:r w:rsidR="00747DBA">
                  <w:rPr>
                    <w:rFonts w:ascii="MS Gothic" w:eastAsia="MS Gothic" w:hAnsi="MS Gothic" w:hint="eastAsia"/>
                  </w:rPr>
                  <w:t>☐</w:t>
                </w:r>
              </w:sdtContent>
            </w:sdt>
            <w:r w:rsidR="00747DBA">
              <w:t xml:space="preserve"> </w:t>
            </w:r>
            <w:r w:rsidR="000F486B">
              <w:t>A</w:t>
            </w:r>
            <w:r w:rsidR="00747DBA" w:rsidRPr="00FA7B74">
              <w:t xml:space="preserve"> waiver from monitoring for </w:t>
            </w:r>
            <w:r w:rsidR="00774D22">
              <w:t xml:space="preserve">any pollutant found in an applicable </w:t>
            </w:r>
            <w:r w:rsidR="000F486B">
              <w:t xml:space="preserve">ELG </w:t>
            </w:r>
            <w:r w:rsidR="00747DBA" w:rsidRPr="00FA7B74">
              <w:t xml:space="preserve">in accordance with </w:t>
            </w:r>
            <w:hyperlink r:id="rId44" w:anchor="p-122.44(a)(2)(iv):~:text=(iv),statement%20of%20basis." w:history="1">
              <w:r w:rsidR="006C14B4" w:rsidRPr="006C14B4">
                <w:rPr>
                  <w:rStyle w:val="Hyperlink"/>
                </w:rPr>
                <w:t>40</w:t>
              </w:r>
              <w:r w:rsidR="009C6D5A">
                <w:rPr>
                  <w:rStyle w:val="Hyperlink"/>
                </w:rPr>
                <w:t> CFR </w:t>
              </w:r>
              <w:r w:rsidR="00747DBA" w:rsidRPr="006C14B4">
                <w:rPr>
                  <w:rStyle w:val="Hyperlink"/>
                </w:rPr>
                <w:t>122.44(a)(2)(iv)</w:t>
              </w:r>
            </w:hyperlink>
            <w:r w:rsidR="00747DBA">
              <w:t>.</w:t>
            </w:r>
            <w:r w:rsidR="007551B7">
              <w:rPr>
                <w:rStyle w:val="EndnoteReference"/>
              </w:rPr>
              <w:endnoteReference w:id="8"/>
            </w:r>
          </w:p>
        </w:tc>
        <w:tc>
          <w:tcPr>
            <w:tcW w:w="1890" w:type="dxa"/>
            <w:tcBorders>
              <w:left w:val="dashed" w:sz="4" w:space="0" w:color="auto"/>
              <w:bottom w:val="single" w:sz="4" w:space="0" w:color="auto"/>
            </w:tcBorders>
            <w:shd w:val="clear" w:color="auto" w:fill="FFFFFF" w:themeFill="background1"/>
            <w:vAlign w:val="center"/>
          </w:tcPr>
          <w:p w14:paraId="0736286E" w14:textId="2B219582" w:rsidR="00747DBA" w:rsidRPr="00FA7B74" w:rsidRDefault="002E7B5B" w:rsidP="005E45DF">
            <w:pPr>
              <w:pStyle w:val="NoSpacing"/>
              <w:ind w:left="240" w:hanging="240"/>
            </w:pPr>
            <w:hyperlink r:id="rId45" w:anchor=":~:text=Waivers%20from%20monitoring%20requirements%20granted%20under%20%C2%A7%20122.44(a)%20of%20this%20chapter." w:history="1">
              <w:r w:rsidR="00747DBA" w:rsidRPr="005152A0">
                <w:rPr>
                  <w:rStyle w:val="Hyperlink"/>
                </w:rPr>
                <w:t>§124.56(b)(1)(vi)</w:t>
              </w:r>
            </w:hyperlink>
          </w:p>
        </w:tc>
      </w:tr>
      <w:tr w:rsidR="009C6D5A" w:rsidRPr="00FA7B74" w14:paraId="4D408EAD" w14:textId="77777777" w:rsidTr="009C6D5A">
        <w:tc>
          <w:tcPr>
            <w:tcW w:w="9360" w:type="dxa"/>
            <w:gridSpan w:val="2"/>
            <w:tcBorders>
              <w:left w:val="nil"/>
              <w:right w:val="nil"/>
            </w:tcBorders>
            <w:shd w:val="clear" w:color="auto" w:fill="auto"/>
          </w:tcPr>
          <w:p w14:paraId="76EBC063" w14:textId="77777777" w:rsidR="009C6D5A" w:rsidRDefault="009C6D5A" w:rsidP="00B70129">
            <w:pPr>
              <w:pStyle w:val="NoSpacing"/>
              <w:rPr>
                <w:b/>
                <w:bCs/>
              </w:rPr>
            </w:pPr>
          </w:p>
        </w:tc>
      </w:tr>
      <w:tr w:rsidR="009C6D5A" w:rsidRPr="00FA7B74" w14:paraId="6C587BA1" w14:textId="77777777" w:rsidTr="00BF7815">
        <w:tc>
          <w:tcPr>
            <w:tcW w:w="9360" w:type="dxa"/>
            <w:gridSpan w:val="2"/>
            <w:shd w:val="clear" w:color="auto" w:fill="C5E0B3" w:themeFill="accent6" w:themeFillTint="66"/>
            <w:vAlign w:val="center"/>
          </w:tcPr>
          <w:p w14:paraId="48688238" w14:textId="6D453764" w:rsidR="009C6D5A" w:rsidRPr="004618C8" w:rsidRDefault="00BF7815" w:rsidP="00BF7815">
            <w:pPr>
              <w:pStyle w:val="NoSpacing"/>
              <w:rPr>
                <w:b/>
                <w:bCs/>
              </w:rPr>
            </w:pPr>
            <w:r>
              <w:rPr>
                <w:b/>
                <w:bCs/>
              </w:rPr>
              <w:t>Additional Fact Sheet Requirements for Water Quality-Based Limitations</w:t>
            </w:r>
          </w:p>
        </w:tc>
      </w:tr>
      <w:tr w:rsidR="005918EE" w:rsidRPr="00FA7B74" w14:paraId="567778A2" w14:textId="77777777" w:rsidTr="001A5859">
        <w:tc>
          <w:tcPr>
            <w:tcW w:w="7470" w:type="dxa"/>
            <w:tcBorders>
              <w:right w:val="dashed" w:sz="4" w:space="0" w:color="auto"/>
            </w:tcBorders>
            <w:shd w:val="clear" w:color="auto" w:fill="auto"/>
            <w:vAlign w:val="center"/>
          </w:tcPr>
          <w:p w14:paraId="53E04825" w14:textId="2DAC20FC" w:rsidR="005918EE" w:rsidRDefault="002E7B5B" w:rsidP="009C6D5A">
            <w:pPr>
              <w:pStyle w:val="NoSpacing"/>
              <w:ind w:left="240" w:hanging="240"/>
            </w:pPr>
            <w:sdt>
              <w:sdtPr>
                <w:id w:val="-385185446"/>
                <w14:checkbox>
                  <w14:checked w14:val="0"/>
                  <w14:checkedState w14:val="2612" w14:font="MS Gothic"/>
                  <w14:uncheckedState w14:val="2610" w14:font="MS Gothic"/>
                </w14:checkbox>
              </w:sdtPr>
              <w:sdtEndPr/>
              <w:sdtContent>
                <w:r w:rsidR="00F66AD5" w:rsidRPr="001F038E">
                  <w:rPr>
                    <w:rFonts w:ascii="Segoe UI Symbol" w:hAnsi="Segoe UI Symbol" w:cs="Segoe UI Symbol"/>
                  </w:rPr>
                  <w:t>☐</w:t>
                </w:r>
              </w:sdtContent>
            </w:sdt>
            <w:r w:rsidR="00F66AD5">
              <w:t xml:space="preserve"> If a limit for whole effluent toxicity (WET) is not necessary to address a narrative criterion, a demonstration, using the procedures at </w:t>
            </w:r>
            <w:hyperlink r:id="rId46" w:anchor="p-122.44(d)(1)(ii):~:text=for%20water%20quality.-,(ii),where%20appropriate%2C%20the%20dilution%20of%20the%20effluent%20in%20the%20receiving%20water.,-(iii)" w:history="1">
              <w:r w:rsidR="00F66AD5" w:rsidRPr="00C15EC6">
                <w:rPr>
                  <w:rStyle w:val="Hyperlink"/>
                </w:rPr>
                <w:t>40 CFR 122.44(d)(1)(ii)</w:t>
              </w:r>
            </w:hyperlink>
            <w:r w:rsidR="00F66AD5">
              <w:rPr>
                <w:rStyle w:val="Hyperlink"/>
              </w:rPr>
              <w:t xml:space="preserve">, </w:t>
            </w:r>
            <w:r w:rsidR="00F66AD5">
              <w:t xml:space="preserve">that chemical-specific limits suffice </w:t>
            </w:r>
            <w:r w:rsidR="00F66AD5" w:rsidRPr="001F038E">
              <w:t xml:space="preserve">to attain and maintain applicable numeric and narrative </w:t>
            </w:r>
            <w:r w:rsidR="00F66AD5">
              <w:t>WQS.</w:t>
            </w:r>
            <w:r w:rsidR="00F66AD5">
              <w:rPr>
                <w:rStyle w:val="EndnoteReference"/>
              </w:rPr>
              <w:endnoteReference w:id="9"/>
            </w:r>
          </w:p>
        </w:tc>
        <w:tc>
          <w:tcPr>
            <w:tcW w:w="1890" w:type="dxa"/>
            <w:tcBorders>
              <w:left w:val="dashed" w:sz="4" w:space="0" w:color="auto"/>
            </w:tcBorders>
            <w:shd w:val="clear" w:color="auto" w:fill="FFFFFF" w:themeFill="background1"/>
            <w:vAlign w:val="center"/>
          </w:tcPr>
          <w:p w14:paraId="5E3C9D9D" w14:textId="0F19185A" w:rsidR="005918EE" w:rsidRDefault="002E7B5B" w:rsidP="009C6D5A">
            <w:pPr>
              <w:pStyle w:val="NoSpacing"/>
              <w:ind w:left="240" w:hanging="240"/>
            </w:pPr>
            <w:hyperlink r:id="rId47" w:anchor="p-122.44(d)(1)(v):~:text=whole%20effluent%20toxicity.-,(v),attain%20and%20maintain%20applicable%20numeric%20and%20narrative%20State%20water%20quality%20standards.,-(vi)" w:history="1">
              <w:r w:rsidR="00D4702E" w:rsidRPr="00EB34F4">
                <w:rPr>
                  <w:rStyle w:val="Hyperlink"/>
                </w:rPr>
                <w:t>§122.44(d)(1)(v)</w:t>
              </w:r>
            </w:hyperlink>
          </w:p>
        </w:tc>
      </w:tr>
      <w:tr w:rsidR="009C6D5A" w:rsidRPr="00FA7B74" w14:paraId="6C3FB5D8" w14:textId="77777777" w:rsidTr="001A5859">
        <w:tc>
          <w:tcPr>
            <w:tcW w:w="7470" w:type="dxa"/>
            <w:tcBorders>
              <w:right w:val="dashed" w:sz="4" w:space="0" w:color="auto"/>
            </w:tcBorders>
            <w:shd w:val="clear" w:color="auto" w:fill="auto"/>
            <w:vAlign w:val="center"/>
          </w:tcPr>
          <w:p w14:paraId="198BAECD" w14:textId="0171D454" w:rsidR="009C6D5A" w:rsidRPr="001F038E" w:rsidRDefault="002E7B5B" w:rsidP="009C6D5A">
            <w:pPr>
              <w:pStyle w:val="NoSpacing"/>
              <w:ind w:left="240" w:hanging="240"/>
            </w:pPr>
            <w:sdt>
              <w:sdtPr>
                <w:id w:val="943271219"/>
                <w14:checkbox>
                  <w14:checked w14:val="0"/>
                  <w14:checkedState w14:val="2612" w14:font="MS Gothic"/>
                  <w14:uncheckedState w14:val="2610" w14:font="MS Gothic"/>
                </w14:checkbox>
              </w:sdtPr>
              <w:sdtEndPr/>
              <w:sdtContent>
                <w:r w:rsidR="009C6D5A" w:rsidRPr="001F038E">
                  <w:rPr>
                    <w:rFonts w:ascii="Segoe UI Symbol" w:hAnsi="Segoe UI Symbol" w:cs="Segoe UI Symbol"/>
                  </w:rPr>
                  <w:t>☐</w:t>
                </w:r>
              </w:sdtContent>
            </w:sdt>
            <w:r w:rsidR="009C6D5A" w:rsidRPr="001F038E">
              <w:t xml:space="preserve"> The basis </w:t>
            </w:r>
            <w:r w:rsidR="009C6D5A">
              <w:t>for</w:t>
            </w:r>
            <w:r w:rsidR="00510001">
              <w:t xml:space="preserve"> WQBELs </w:t>
            </w:r>
            <w:r w:rsidR="009C6D5A" w:rsidRPr="001F038E">
              <w:t xml:space="preserve">for any indicator parameter for a pollutant of concern, in cases where a state has not established a water quality criterion for a specific chemical pollutant present in an effluent at a concentration that causes, has the reasonable potential to cause, or contributes to an excursion above a narrative criterion within an applicable State </w:t>
            </w:r>
            <w:r w:rsidR="009C6D5A">
              <w:t>WQS</w:t>
            </w:r>
            <w:r w:rsidR="009C6D5A" w:rsidRPr="001F038E">
              <w:t>.</w:t>
            </w:r>
          </w:p>
        </w:tc>
        <w:tc>
          <w:tcPr>
            <w:tcW w:w="1890" w:type="dxa"/>
            <w:tcBorders>
              <w:left w:val="dashed" w:sz="4" w:space="0" w:color="auto"/>
            </w:tcBorders>
            <w:shd w:val="clear" w:color="auto" w:fill="FFFFFF" w:themeFill="background1"/>
            <w:vAlign w:val="center"/>
          </w:tcPr>
          <w:p w14:paraId="1EBDA3C0" w14:textId="6C86D453" w:rsidR="009C6D5A" w:rsidRPr="00FA7B74" w:rsidRDefault="002E7B5B" w:rsidP="009C6D5A">
            <w:pPr>
              <w:pStyle w:val="NoSpacing"/>
              <w:ind w:left="240" w:hanging="240"/>
            </w:pPr>
            <w:hyperlink r:id="rId48" w:anchor="p-122.44(d)(1)(v):~:text=the%20effluent%20limitation%3B-,(2),which%20are%20sufficient%20to%20attain%20and%20maintain%20applicable%20water%20quality%20standards%3B,-(3)" w:history="1">
              <w:r w:rsidR="009C6D5A" w:rsidRPr="00EB34F4">
                <w:rPr>
                  <w:rStyle w:val="Hyperlink"/>
                </w:rPr>
                <w:t>§122.44(d)(1)(vi)</w:t>
              </w:r>
              <w:r w:rsidR="009C6D5A">
                <w:rPr>
                  <w:rStyle w:val="Hyperlink"/>
                </w:rPr>
                <w:br/>
              </w:r>
              <w:r w:rsidR="009C6D5A" w:rsidRPr="00EB34F4">
                <w:rPr>
                  <w:rStyle w:val="Hyperlink"/>
                </w:rPr>
                <w:t>(C)(2)</w:t>
              </w:r>
            </w:hyperlink>
          </w:p>
        </w:tc>
      </w:tr>
      <w:tr w:rsidR="009C6D5A" w:rsidRPr="00FA7B74" w14:paraId="170B85BA" w14:textId="77777777" w:rsidTr="001A5859">
        <w:tc>
          <w:tcPr>
            <w:tcW w:w="7470" w:type="dxa"/>
            <w:tcBorders>
              <w:right w:val="dashed" w:sz="4" w:space="0" w:color="auto"/>
            </w:tcBorders>
            <w:shd w:val="clear" w:color="auto" w:fill="auto"/>
          </w:tcPr>
          <w:p w14:paraId="4B5F3721" w14:textId="0C7E1E78" w:rsidR="009C6D5A" w:rsidRDefault="002E7B5B" w:rsidP="009C6D5A">
            <w:pPr>
              <w:pStyle w:val="NoSpacing"/>
              <w:ind w:left="240" w:hanging="240"/>
            </w:pPr>
            <w:sdt>
              <w:sdtPr>
                <w:id w:val="698364407"/>
                <w14:checkbox>
                  <w14:checked w14:val="0"/>
                  <w14:checkedState w14:val="2612" w14:font="MS Gothic"/>
                  <w14:uncheckedState w14:val="2610" w14:font="MS Gothic"/>
                </w14:checkbox>
              </w:sdtPr>
              <w:sdtEndPr/>
              <w:sdtContent>
                <w:r w:rsidR="009C6D5A">
                  <w:rPr>
                    <w:rFonts w:ascii="MS Gothic" w:eastAsia="MS Gothic" w:hAnsi="MS Gothic" w:hint="eastAsia"/>
                  </w:rPr>
                  <w:t>☐</w:t>
                </w:r>
              </w:sdtContent>
            </w:sdt>
            <w:r w:rsidR="009C6D5A">
              <w:t xml:space="preserve"> </w:t>
            </w:r>
            <w:r w:rsidR="00A14391">
              <w:t>For new source</w:t>
            </w:r>
            <w:r w:rsidR="00A51F90">
              <w:t>s</w:t>
            </w:r>
            <w:r w:rsidR="00A14391">
              <w:t xml:space="preserve"> and new discharges proposing to discharge into a water segment </w:t>
            </w:r>
            <w:r w:rsidR="00510001">
              <w:t xml:space="preserve">that </w:t>
            </w:r>
            <w:r w:rsidR="00A14391">
              <w:t xml:space="preserve">does not meet applicable </w:t>
            </w:r>
            <w:r w:rsidR="00510001">
              <w:t xml:space="preserve">WQS </w:t>
            </w:r>
            <w:r w:rsidR="00A14391">
              <w:t xml:space="preserve">or is not expected to meet </w:t>
            </w:r>
            <w:r w:rsidR="00510001">
              <w:t xml:space="preserve">WQS </w:t>
            </w:r>
            <w:r w:rsidR="00A14391">
              <w:t>even after the application of the effluent limitations, a</w:t>
            </w:r>
            <w:r w:rsidR="00510001">
              <w:t>n</w:t>
            </w:r>
            <w:r w:rsidR="00A14391">
              <w:t xml:space="preserve"> </w:t>
            </w:r>
            <w:r w:rsidR="00A472F8">
              <w:t>explanation of how</w:t>
            </w:r>
            <w:r w:rsidR="00A14391">
              <w:t xml:space="preserve"> the </w:t>
            </w:r>
            <w:r w:rsidR="00510001">
              <w:t xml:space="preserve">permit issuance </w:t>
            </w:r>
            <w:r w:rsidR="009C6D5A" w:rsidRPr="00714A4F">
              <w:t xml:space="preserve">criteria under </w:t>
            </w:r>
            <w:hyperlink r:id="rId49" w:anchor="p-122.4(i):~:text=(i),this%20chapter." w:history="1">
              <w:r w:rsidR="009C6D5A" w:rsidRPr="00E05B2B">
                <w:rPr>
                  <w:rStyle w:val="Hyperlink"/>
                </w:rPr>
                <w:t>40 CFR 122.4(i)</w:t>
              </w:r>
            </w:hyperlink>
            <w:r w:rsidR="00A14391">
              <w:t xml:space="preserve"> </w:t>
            </w:r>
            <w:r w:rsidR="00510001">
              <w:t xml:space="preserve">have </w:t>
            </w:r>
            <w:r w:rsidR="00A14391">
              <w:t>been met</w:t>
            </w:r>
            <w:r w:rsidR="009C6D5A">
              <w:t>.</w:t>
            </w:r>
            <w:r w:rsidR="009C6D5A">
              <w:rPr>
                <w:rStyle w:val="EndnoteReference"/>
              </w:rPr>
              <w:endnoteReference w:id="10"/>
            </w:r>
          </w:p>
        </w:tc>
        <w:tc>
          <w:tcPr>
            <w:tcW w:w="1890" w:type="dxa"/>
            <w:tcBorders>
              <w:left w:val="dashed" w:sz="4" w:space="0" w:color="auto"/>
            </w:tcBorders>
            <w:shd w:val="clear" w:color="auto" w:fill="FFFFFF" w:themeFill="background1"/>
            <w:vAlign w:val="center"/>
          </w:tcPr>
          <w:p w14:paraId="1ED2C63B" w14:textId="4C030546" w:rsidR="009C6D5A" w:rsidRPr="00253164" w:rsidRDefault="002E7B5B" w:rsidP="009C6D5A">
            <w:pPr>
              <w:pStyle w:val="NoSpacing"/>
              <w:ind w:left="240" w:hanging="240"/>
            </w:pPr>
            <w:hyperlink r:id="rId50" w:anchor=":~:text=(v),this%20chapter%2C" w:history="1">
              <w:r w:rsidR="009C6D5A" w:rsidRPr="005152A0">
                <w:rPr>
                  <w:rStyle w:val="Hyperlink"/>
                </w:rPr>
                <w:t>§124.56(b)(1)(v)</w:t>
              </w:r>
            </w:hyperlink>
          </w:p>
        </w:tc>
      </w:tr>
    </w:tbl>
    <w:p w14:paraId="05169B9F" w14:textId="77777777" w:rsidR="0040578C" w:rsidRDefault="0040578C" w:rsidP="00747DBA">
      <w:pPr>
        <w:rPr>
          <w:b/>
          <w:bCs/>
          <w:sz w:val="24"/>
          <w:szCs w:val="24"/>
        </w:rPr>
      </w:pPr>
    </w:p>
    <w:p w14:paraId="0F89744E" w14:textId="74CD91DA" w:rsidR="00747DBA" w:rsidRPr="00524B44" w:rsidRDefault="00747DBA" w:rsidP="00747DBA">
      <w:pPr>
        <w:rPr>
          <w:b/>
          <w:bCs/>
          <w:sz w:val="24"/>
          <w:szCs w:val="24"/>
        </w:rPr>
      </w:pPr>
      <w:r>
        <w:rPr>
          <w:b/>
          <w:bCs/>
          <w:sz w:val="24"/>
          <w:szCs w:val="24"/>
        </w:rPr>
        <w:t xml:space="preserve">3. </w:t>
      </w:r>
      <w:r w:rsidRPr="00524B44">
        <w:rPr>
          <w:b/>
          <w:bCs/>
          <w:sz w:val="24"/>
          <w:szCs w:val="24"/>
        </w:rPr>
        <w:t xml:space="preserve">Other </w:t>
      </w:r>
      <w:r w:rsidR="00A10CF0">
        <w:rPr>
          <w:b/>
          <w:bCs/>
          <w:sz w:val="24"/>
          <w:szCs w:val="24"/>
        </w:rPr>
        <w:t xml:space="preserve">Considerations for Effluent Limits and </w:t>
      </w:r>
      <w:r w:rsidRPr="00524B44">
        <w:rPr>
          <w:b/>
          <w:bCs/>
          <w:sz w:val="24"/>
          <w:szCs w:val="24"/>
        </w:rPr>
        <w:t>Permit Conditions</w:t>
      </w:r>
    </w:p>
    <w:tbl>
      <w:tblPr>
        <w:tblStyle w:val="TableGrid"/>
        <w:tblW w:w="9360" w:type="dxa"/>
        <w:tblInd w:w="-5" w:type="dxa"/>
        <w:tblLook w:val="04A0" w:firstRow="1" w:lastRow="0" w:firstColumn="1" w:lastColumn="0" w:noHBand="0" w:noVBand="1"/>
      </w:tblPr>
      <w:tblGrid>
        <w:gridCol w:w="7009"/>
        <w:gridCol w:w="2351"/>
      </w:tblGrid>
      <w:tr w:rsidR="00747DBA" w14:paraId="4E4C6593" w14:textId="77777777" w:rsidTr="122203A0">
        <w:tc>
          <w:tcPr>
            <w:tcW w:w="9360" w:type="dxa"/>
            <w:gridSpan w:val="2"/>
            <w:tcBorders>
              <w:top w:val="single" w:sz="4" w:space="0" w:color="auto"/>
            </w:tcBorders>
            <w:shd w:val="clear" w:color="auto" w:fill="A8D08D" w:themeFill="accent6" w:themeFillTint="99"/>
            <w:vAlign w:val="center"/>
          </w:tcPr>
          <w:p w14:paraId="273F9BE5" w14:textId="77777777" w:rsidR="00747DBA" w:rsidRPr="007D3477" w:rsidRDefault="00747DBA" w:rsidP="005E45DF">
            <w:pPr>
              <w:pStyle w:val="NoSpacing"/>
              <w:ind w:left="240" w:hanging="240"/>
              <w:rPr>
                <w:b/>
                <w:bCs/>
              </w:rPr>
            </w:pPr>
            <w:r w:rsidRPr="007D3477">
              <w:rPr>
                <w:b/>
                <w:bCs/>
              </w:rPr>
              <w:t>Regulatory Requirements</w:t>
            </w:r>
            <w:r>
              <w:rPr>
                <w:b/>
                <w:bCs/>
              </w:rPr>
              <w:t xml:space="preserve"> for Other Permit Conditions</w:t>
            </w:r>
          </w:p>
        </w:tc>
      </w:tr>
      <w:tr w:rsidR="00747DBA" w14:paraId="797888DB" w14:textId="77777777" w:rsidTr="122203A0">
        <w:tc>
          <w:tcPr>
            <w:tcW w:w="7009" w:type="dxa"/>
            <w:tcBorders>
              <w:right w:val="dashed" w:sz="4" w:space="0" w:color="auto"/>
            </w:tcBorders>
            <w:shd w:val="clear" w:color="auto" w:fill="auto"/>
            <w:vAlign w:val="center"/>
          </w:tcPr>
          <w:p w14:paraId="45577B7E" w14:textId="77777777" w:rsidR="00747DBA" w:rsidRPr="001F038E" w:rsidRDefault="002E7B5B" w:rsidP="005E45DF">
            <w:pPr>
              <w:pStyle w:val="NoSpacing"/>
              <w:ind w:left="240" w:hanging="240"/>
            </w:pPr>
            <w:sdt>
              <w:sdtPr>
                <w:id w:val="-83767614"/>
                <w14:checkbox>
                  <w14:checked w14:val="0"/>
                  <w14:checkedState w14:val="2612" w14:font="MS Gothic"/>
                  <w14:uncheckedState w14:val="2610" w14:font="MS Gothic"/>
                </w14:checkbox>
              </w:sdtPr>
              <w:sdtEndPr/>
              <w:sdtContent>
                <w:r w:rsidR="00747DBA" w:rsidRPr="001F038E">
                  <w:rPr>
                    <w:rFonts w:ascii="MS Gothic" w:eastAsia="MS Gothic" w:hAnsi="MS Gothic" w:hint="eastAsia"/>
                  </w:rPr>
                  <w:t>☐</w:t>
                </w:r>
              </w:sdtContent>
            </w:sdt>
            <w:r w:rsidR="00747DBA" w:rsidRPr="001F038E">
              <w:t xml:space="preserve"> The reasons why any requested variances or alternatives </w:t>
            </w:r>
            <w:r w:rsidR="00747DBA">
              <w:t xml:space="preserve">to required standards </w:t>
            </w:r>
            <w:r w:rsidR="00747DBA" w:rsidRPr="001F038E">
              <w:t>do or do not appear justified.</w:t>
            </w:r>
          </w:p>
        </w:tc>
        <w:tc>
          <w:tcPr>
            <w:tcW w:w="2351" w:type="dxa"/>
            <w:tcBorders>
              <w:left w:val="dashed" w:sz="4" w:space="0" w:color="auto"/>
            </w:tcBorders>
            <w:shd w:val="clear" w:color="auto" w:fill="FFFFFF" w:themeFill="background1"/>
            <w:vAlign w:val="center"/>
          </w:tcPr>
          <w:p w14:paraId="482974F4" w14:textId="4BBF8E1F" w:rsidR="00747DBA" w:rsidRPr="00174CDE" w:rsidRDefault="002E7B5B" w:rsidP="005E45DF">
            <w:pPr>
              <w:pStyle w:val="NoSpacing"/>
              <w:ind w:left="240" w:hanging="240"/>
            </w:pPr>
            <w:hyperlink r:id="rId51" w:anchor=":~:text=(5),not%20appear%20justified%3B" w:history="1">
              <w:r w:rsidR="00747DBA" w:rsidRPr="005C6797">
                <w:rPr>
                  <w:rStyle w:val="Hyperlink"/>
                </w:rPr>
                <w:t>§124.8(b)(5)</w:t>
              </w:r>
            </w:hyperlink>
          </w:p>
        </w:tc>
      </w:tr>
      <w:tr w:rsidR="00A10CF0" w14:paraId="44B0F016" w14:textId="77777777" w:rsidTr="008274EF">
        <w:tc>
          <w:tcPr>
            <w:tcW w:w="7009" w:type="dxa"/>
            <w:tcBorders>
              <w:bottom w:val="single" w:sz="4" w:space="0" w:color="auto"/>
              <w:right w:val="dashed" w:sz="4" w:space="0" w:color="auto"/>
            </w:tcBorders>
            <w:shd w:val="clear" w:color="auto" w:fill="auto"/>
          </w:tcPr>
          <w:p w14:paraId="25FFEEB6" w14:textId="2CE9482C" w:rsidR="00A10CF0" w:rsidRDefault="002E7B5B" w:rsidP="00A10CF0">
            <w:pPr>
              <w:pStyle w:val="NoSpacing"/>
              <w:ind w:left="240" w:hanging="240"/>
            </w:pPr>
            <w:sdt>
              <w:sdtPr>
                <w:id w:val="-545143424"/>
                <w14:checkbox>
                  <w14:checked w14:val="0"/>
                  <w14:checkedState w14:val="2612" w14:font="MS Gothic"/>
                  <w14:uncheckedState w14:val="2610" w14:font="MS Gothic"/>
                </w14:checkbox>
              </w:sdtPr>
              <w:sdtEndPr/>
              <w:sdtContent>
                <w:r w:rsidR="00A10CF0">
                  <w:rPr>
                    <w:rFonts w:ascii="MS Gothic" w:eastAsia="MS Gothic" w:hAnsi="MS Gothic" w:hint="eastAsia"/>
                  </w:rPr>
                  <w:t>☐</w:t>
                </w:r>
              </w:sdtContent>
            </w:sdt>
            <w:r w:rsidR="00A10CF0">
              <w:t xml:space="preserve"> </w:t>
            </w:r>
            <w:r w:rsidR="00A10CF0" w:rsidRPr="00A10CF0">
              <w:rPr>
                <w:i/>
                <w:iCs/>
              </w:rPr>
              <w:t>For a permit issued to a privately owned treatment works:</w:t>
            </w:r>
            <w:r w:rsidR="00A10CF0">
              <w:t xml:space="preserve"> </w:t>
            </w:r>
            <w:r w:rsidR="00A10CF0">
              <w:br/>
              <w:t>T</w:t>
            </w:r>
            <w:r w:rsidR="00A10CF0" w:rsidRPr="00714A4F">
              <w:t>he permitting authority’s decision and explanation of the basis for that decision regarding whether to issue a permit to the treatment works with no conditions applicable to any user, impose</w:t>
            </w:r>
            <w:r w:rsidR="00A10CF0">
              <w:t xml:space="preserve"> </w:t>
            </w:r>
            <w:r w:rsidR="00A10CF0" w:rsidRPr="00714A4F">
              <w:t xml:space="preserve">conditions on one or more users, issue separate permits, or require separate applications, under </w:t>
            </w:r>
            <w:hyperlink r:id="rId52" w:anchor="p-122.44(m):~:text=(m),the%20treatment%20works." w:history="1">
              <w:r w:rsidR="00A10CF0" w:rsidRPr="00506EDD">
                <w:rPr>
                  <w:rStyle w:val="Hyperlink"/>
                </w:rPr>
                <w:t>40 CFR 122.44(m)</w:t>
              </w:r>
            </w:hyperlink>
            <w:r w:rsidR="00A10CF0">
              <w:t>.</w:t>
            </w:r>
          </w:p>
        </w:tc>
        <w:tc>
          <w:tcPr>
            <w:tcW w:w="2351" w:type="dxa"/>
            <w:tcBorders>
              <w:left w:val="dashed" w:sz="4" w:space="0" w:color="auto"/>
              <w:bottom w:val="single" w:sz="4" w:space="0" w:color="auto"/>
            </w:tcBorders>
            <w:shd w:val="clear" w:color="auto" w:fill="FFFFFF" w:themeFill="background1"/>
          </w:tcPr>
          <w:p w14:paraId="63E4E5A6" w14:textId="77777777" w:rsidR="006027BD" w:rsidRDefault="006027BD" w:rsidP="00A10CF0">
            <w:pPr>
              <w:pStyle w:val="NoSpacing"/>
              <w:ind w:left="240" w:hanging="240"/>
            </w:pPr>
          </w:p>
          <w:p w14:paraId="07260B75" w14:textId="77777777" w:rsidR="006027BD" w:rsidRDefault="006027BD" w:rsidP="00A10CF0">
            <w:pPr>
              <w:pStyle w:val="NoSpacing"/>
              <w:ind w:left="240" w:hanging="240"/>
            </w:pPr>
          </w:p>
          <w:p w14:paraId="66757FB3" w14:textId="346ACB7D" w:rsidR="00A10CF0" w:rsidRDefault="002E7B5B" w:rsidP="006027BD">
            <w:pPr>
              <w:pStyle w:val="NoSpacing"/>
            </w:pPr>
            <w:hyperlink r:id="rId53" w:anchor=":~:text=this%20chapter.-,(2),Director%27s%20decision%20on%20regulation%20of%20users%20under%20%C2%A7%20122.44(m).,-(c)" w:history="1">
              <w:r w:rsidR="00A10CF0" w:rsidRPr="005C6797">
                <w:rPr>
                  <w:rStyle w:val="Hyperlink"/>
                </w:rPr>
                <w:t>§124.56(b)(2)</w:t>
              </w:r>
            </w:hyperlink>
          </w:p>
        </w:tc>
      </w:tr>
      <w:tr w:rsidR="00A10CF0" w14:paraId="20E07CAB" w14:textId="77777777" w:rsidTr="00F7649D">
        <w:tc>
          <w:tcPr>
            <w:tcW w:w="7009" w:type="dxa"/>
            <w:tcBorders>
              <w:bottom w:val="single" w:sz="4" w:space="0" w:color="auto"/>
              <w:right w:val="dashed" w:sz="4" w:space="0" w:color="auto"/>
            </w:tcBorders>
            <w:shd w:val="clear" w:color="auto" w:fill="auto"/>
            <w:vAlign w:val="center"/>
          </w:tcPr>
          <w:p w14:paraId="2027400F" w14:textId="2892DD07" w:rsidR="00A10CF0" w:rsidRPr="001F038E" w:rsidRDefault="002E7B5B" w:rsidP="00A10CF0">
            <w:pPr>
              <w:pStyle w:val="NoSpacing"/>
              <w:ind w:left="240" w:hanging="240"/>
            </w:pPr>
            <w:sdt>
              <w:sdtPr>
                <w:id w:val="854773452"/>
                <w14:checkbox>
                  <w14:checked w14:val="0"/>
                  <w14:checkedState w14:val="2612" w14:font="MS Gothic"/>
                  <w14:uncheckedState w14:val="2610" w14:font="MS Gothic"/>
                </w14:checkbox>
              </w:sdtPr>
              <w:sdtEndPr/>
              <w:sdtContent>
                <w:r w:rsidR="00A10CF0" w:rsidRPr="001F038E">
                  <w:rPr>
                    <w:rFonts w:ascii="MS Gothic" w:eastAsia="MS Gothic" w:hAnsi="MS Gothic" w:hint="eastAsia"/>
                  </w:rPr>
                  <w:t>☐</w:t>
                </w:r>
              </w:sdtContent>
            </w:sdt>
            <w:r w:rsidR="00A10CF0">
              <w:t xml:space="preserve"> </w:t>
            </w:r>
            <w:bookmarkStart w:id="8" w:name="_Hlk164174410"/>
            <w:r w:rsidR="00A10CF0" w:rsidRPr="00A10CF0">
              <w:rPr>
                <w:i/>
                <w:iCs/>
              </w:rPr>
              <w:t>For a permit that includes a sewage sludge land application plan:</w:t>
            </w:r>
            <w:r w:rsidR="00A10CF0">
              <w:t xml:space="preserve"> </w:t>
            </w:r>
            <w:r w:rsidR="00A10CF0">
              <w:br/>
              <w:t>A brief description of how the permit addresses each required element of the land application plan.</w:t>
            </w:r>
            <w:bookmarkEnd w:id="8"/>
          </w:p>
        </w:tc>
        <w:bookmarkStart w:id="9" w:name="_Hlk164174287"/>
        <w:tc>
          <w:tcPr>
            <w:tcW w:w="2351" w:type="dxa"/>
            <w:tcBorders>
              <w:left w:val="dashed" w:sz="4" w:space="0" w:color="auto"/>
              <w:bottom w:val="single" w:sz="4" w:space="0" w:color="auto"/>
            </w:tcBorders>
            <w:shd w:val="clear" w:color="auto" w:fill="FFFFFF" w:themeFill="background1"/>
            <w:vAlign w:val="center"/>
          </w:tcPr>
          <w:p w14:paraId="1CD134BA" w14:textId="3B4B93F9" w:rsidR="00A10CF0" w:rsidRPr="00174CDE" w:rsidRDefault="00A10CF0" w:rsidP="00A10CF0">
            <w:pPr>
              <w:pStyle w:val="NoSpacing"/>
              <w:ind w:left="240" w:hanging="240"/>
            </w:pPr>
            <w:r>
              <w:fldChar w:fldCharType="begin"/>
            </w:r>
            <w:r>
              <w:instrText>HYPERLINK "https://www.ecfr.gov/current/title-40/chapter-I/subchapter-D/part-124/subpart-D/section-124.56" \l ":~:text=%C2%A7%20124.53.-,(e),elements%20of%20the%20land%20application%20plan%20are%20addressed%20in%20the%20permit.,-%5B48%20FR"</w:instrText>
            </w:r>
            <w:r>
              <w:fldChar w:fldCharType="separate"/>
            </w:r>
            <w:r w:rsidRPr="005C6797">
              <w:rPr>
                <w:rStyle w:val="Hyperlink"/>
              </w:rPr>
              <w:t>§124.56(e)</w:t>
            </w:r>
            <w:r>
              <w:rPr>
                <w:rStyle w:val="Hyperlink"/>
              </w:rPr>
              <w:fldChar w:fldCharType="end"/>
            </w:r>
            <w:bookmarkEnd w:id="9"/>
          </w:p>
        </w:tc>
      </w:tr>
      <w:tr w:rsidR="00F7649D" w14:paraId="50B4953F" w14:textId="77777777" w:rsidTr="00F7649D">
        <w:trPr>
          <w:trHeight w:val="302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1A042" w14:textId="63752873" w:rsidR="00F7649D" w:rsidRPr="00A468EB" w:rsidRDefault="006027BD" w:rsidP="00697756">
            <w:pPr>
              <w:pStyle w:val="NoSpacing"/>
            </w:pPr>
            <w:r>
              <w:lastRenderedPageBreak/>
              <w:t>B</w:t>
            </w:r>
            <w:r w:rsidR="00F7649D">
              <w:t xml:space="preserve">ased on the </w:t>
            </w:r>
            <w:r w:rsidR="00F7649D" w:rsidRPr="004352C1">
              <w:rPr>
                <w:rFonts w:cstheme="minorHAnsi"/>
                <w:sz w:val="24"/>
                <w:szCs w:val="24"/>
              </w:rPr>
              <w:t>particular</w:t>
            </w:r>
            <w:r w:rsidR="00F7649D">
              <w:t xml:space="preserve"> facts of the permit, information responsive to the general requirements in </w:t>
            </w:r>
            <w:hyperlink r:id="rId54" w:anchor="p-124.56(a)" w:history="1">
              <w:r w:rsidR="00197818" w:rsidRPr="00197818">
                <w:rPr>
                  <w:rStyle w:val="Hyperlink"/>
                  <w:rFonts w:cstheme="minorHAnsi"/>
                </w:rPr>
                <w:t>§</w:t>
              </w:r>
              <w:r w:rsidR="00197818" w:rsidRPr="00197818">
                <w:rPr>
                  <w:rStyle w:val="Hyperlink"/>
                </w:rPr>
                <w:t>124.56(a)</w:t>
              </w:r>
            </w:hyperlink>
            <w:r w:rsidR="00197818">
              <w:t xml:space="preserve"> </w:t>
            </w:r>
            <w:r w:rsidR="00F7649D">
              <w:t xml:space="preserve">and </w:t>
            </w:r>
            <w:hyperlink r:id="rId55" w:anchor="p-124.8(b)(4)" w:history="1">
              <w:r w:rsidR="00197818" w:rsidRPr="00197818">
                <w:rPr>
                  <w:rStyle w:val="Hyperlink"/>
                </w:rPr>
                <w:t>§</w:t>
              </w:r>
              <w:r w:rsidR="00F7649D" w:rsidRPr="00197818">
                <w:rPr>
                  <w:rStyle w:val="Hyperlink"/>
                </w:rPr>
                <w:t>124.8(b)(4)</w:t>
              </w:r>
            </w:hyperlink>
            <w:r w:rsidR="00F7649D">
              <w:t xml:space="preserve"> should include: </w:t>
            </w:r>
          </w:p>
          <w:p w14:paraId="356DCE4E" w14:textId="28C58581" w:rsidR="00F7649D" w:rsidRDefault="002E7B5B" w:rsidP="00C8000D">
            <w:pPr>
              <w:pStyle w:val="NoSpacing"/>
              <w:spacing w:before="80"/>
              <w:ind w:left="616" w:hanging="240"/>
            </w:pPr>
            <w:sdt>
              <w:sdtPr>
                <w:id w:val="1175224283"/>
                <w14:checkbox>
                  <w14:checked w14:val="0"/>
                  <w14:checkedState w14:val="2612" w14:font="MS Gothic"/>
                  <w14:uncheckedState w14:val="2610" w14:font="MS Gothic"/>
                </w14:checkbox>
              </w:sdtPr>
              <w:sdtEndPr/>
              <w:sdtContent>
                <w:r w:rsidR="00F7649D">
                  <w:rPr>
                    <w:rFonts w:ascii="MS Gothic" w:eastAsia="MS Gothic" w:hAnsi="MS Gothic" w:hint="eastAsia"/>
                  </w:rPr>
                  <w:t>☐</w:t>
                </w:r>
              </w:sdtContent>
            </w:sdt>
            <w:r w:rsidR="00F7649D">
              <w:t xml:space="preserve"> </w:t>
            </w:r>
            <w:r w:rsidR="00F7649D" w:rsidRPr="00D762C2">
              <w:t xml:space="preserve">Where an effluent limit is less stringent than the limit in the previous permit, information showing </w:t>
            </w:r>
            <w:r w:rsidR="00B53B7B">
              <w:t xml:space="preserve">consideration of </w:t>
            </w:r>
            <w:r w:rsidR="00F7649D" w:rsidRPr="00D762C2">
              <w:t xml:space="preserve">anti-backsliding </w:t>
            </w:r>
            <w:r w:rsidR="00B53B7B">
              <w:t>requirements</w:t>
            </w:r>
            <w:r w:rsidR="00F7649D" w:rsidRPr="00D762C2">
              <w:t xml:space="preserve"> pursuant to </w:t>
            </w:r>
            <w:hyperlink r:id="rId56" w:anchor=":~:text=in%20this%20note.-,(l),a%20water%20quality%20standard%20under%20section%20303%20applicable%20to%20such%20waters.,-(m)" w:history="1">
              <w:r w:rsidR="00F7649D">
                <w:rPr>
                  <w:rStyle w:val="Hyperlink"/>
                </w:rPr>
                <w:t xml:space="preserve">40 CFR </w:t>
              </w:r>
              <w:r w:rsidR="00F7649D" w:rsidRPr="00C70F6D">
                <w:rPr>
                  <w:rStyle w:val="Hyperlink"/>
                </w:rPr>
                <w:t>122.44(l)</w:t>
              </w:r>
            </w:hyperlink>
            <w:r w:rsidR="00F7649D" w:rsidRPr="00D762C2">
              <w:t xml:space="preserve"> and CWA Sections 402(o)(2) and 303(d)(4).</w:t>
            </w:r>
          </w:p>
          <w:p w14:paraId="5090675E" w14:textId="1F8CCE2E" w:rsidR="00F7649D" w:rsidRDefault="002E7B5B" w:rsidP="00C8000D">
            <w:pPr>
              <w:pStyle w:val="NoSpacing"/>
              <w:spacing w:before="80"/>
              <w:ind w:left="616" w:hanging="240"/>
            </w:pPr>
            <w:sdt>
              <w:sdtPr>
                <w:id w:val="1120960946"/>
                <w14:checkbox>
                  <w14:checked w14:val="0"/>
                  <w14:checkedState w14:val="2612" w14:font="MS Gothic"/>
                  <w14:uncheckedState w14:val="2610" w14:font="MS Gothic"/>
                </w14:checkbox>
              </w:sdtPr>
              <w:sdtEndPr/>
              <w:sdtContent>
                <w:r w:rsidR="00F7649D">
                  <w:rPr>
                    <w:rFonts w:ascii="MS Gothic" w:eastAsia="MS Gothic" w:hAnsi="MS Gothic" w:hint="eastAsia"/>
                  </w:rPr>
                  <w:t>☐</w:t>
                </w:r>
              </w:sdtContent>
            </w:sdt>
            <w:r w:rsidR="00F7649D">
              <w:t xml:space="preserve"> Where allowable pollutant loadings have increased into receiving waters that are either attaining or exceeding WQS, information showing </w:t>
            </w:r>
            <w:r w:rsidR="00B53B7B">
              <w:t xml:space="preserve">consideration of </w:t>
            </w:r>
            <w:r w:rsidR="00F7649D">
              <w:t xml:space="preserve">the state’s antidegradation policy </w:t>
            </w:r>
            <w:r w:rsidR="000A16DC">
              <w:t xml:space="preserve">(required under </w:t>
            </w:r>
            <w:hyperlink r:id="rId57" w:history="1">
              <w:r w:rsidR="000A16DC" w:rsidRPr="000A16DC">
                <w:rPr>
                  <w:rStyle w:val="Hyperlink"/>
                </w:rPr>
                <w:t>40 CFR 131.12</w:t>
              </w:r>
            </w:hyperlink>
            <w:r w:rsidR="000A16DC">
              <w:t>)</w:t>
            </w:r>
            <w:r w:rsidR="00F7649D">
              <w:t>.</w:t>
            </w:r>
          </w:p>
          <w:p w14:paraId="16D26787" w14:textId="1F0B11C2" w:rsidR="00F4059B" w:rsidRDefault="002E7B5B" w:rsidP="008D5CFB">
            <w:pPr>
              <w:pStyle w:val="NoSpacing"/>
              <w:spacing w:before="80"/>
              <w:ind w:left="616" w:hanging="240"/>
            </w:pPr>
            <w:sdt>
              <w:sdtPr>
                <w:id w:val="-475606208"/>
                <w14:checkbox>
                  <w14:checked w14:val="0"/>
                  <w14:checkedState w14:val="2612" w14:font="MS Gothic"/>
                  <w14:uncheckedState w14:val="2610" w14:font="MS Gothic"/>
                </w14:checkbox>
              </w:sdtPr>
              <w:sdtEndPr/>
              <w:sdtContent>
                <w:r w:rsidR="00F7649D">
                  <w:rPr>
                    <w:rFonts w:ascii="MS Gothic" w:eastAsia="MS Gothic" w:hAnsi="MS Gothic" w:hint="eastAsia"/>
                  </w:rPr>
                  <w:t>☐</w:t>
                </w:r>
              </w:sdtContent>
            </w:sdt>
            <w:r w:rsidR="00F7649D">
              <w:t xml:space="preserve"> An e</w:t>
            </w:r>
            <w:r w:rsidR="00F7649D" w:rsidRPr="00174CDE">
              <w:t xml:space="preserve">xplanation of the basis for </w:t>
            </w:r>
            <w:r w:rsidR="00F7649D">
              <w:t xml:space="preserve">and appropriateness of </w:t>
            </w:r>
            <w:r w:rsidR="00F7649D" w:rsidRPr="00174CDE">
              <w:t>any compliance schedules granted under</w:t>
            </w:r>
            <w:r w:rsidR="00F7649D">
              <w:t xml:space="preserve"> </w:t>
            </w:r>
            <w:hyperlink r:id="rId58" w:history="1">
              <w:r w:rsidR="00F7649D" w:rsidRPr="00076337">
                <w:rPr>
                  <w:rStyle w:val="Hyperlink"/>
                </w:rPr>
                <w:t>40 CFR 122.47</w:t>
              </w:r>
            </w:hyperlink>
            <w:r w:rsidR="00955FE8">
              <w:rPr>
                <w:rStyle w:val="Hyperlink"/>
              </w:rPr>
              <w:t>.</w:t>
            </w:r>
            <w:r w:rsidR="00F7649D">
              <w:rPr>
                <w:rStyle w:val="EndnoteReference"/>
              </w:rPr>
              <w:endnoteReference w:id="11"/>
            </w:r>
            <w:r w:rsidR="00955FE8">
              <w:t xml:space="preserve"> </w:t>
            </w:r>
          </w:p>
          <w:p w14:paraId="401A6C2B" w14:textId="489BA9EB" w:rsidR="003513C1" w:rsidRPr="00A468EB" w:rsidRDefault="002E7B5B" w:rsidP="008D5CFB">
            <w:pPr>
              <w:pStyle w:val="NoSpacing"/>
              <w:spacing w:before="80"/>
              <w:ind w:left="616" w:hanging="240"/>
            </w:pPr>
            <w:sdt>
              <w:sdtPr>
                <w:id w:val="945820441"/>
                <w14:checkbox>
                  <w14:checked w14:val="0"/>
                  <w14:checkedState w14:val="2612" w14:font="MS Gothic"/>
                  <w14:uncheckedState w14:val="2610" w14:font="MS Gothic"/>
                </w14:checkbox>
              </w:sdtPr>
              <w:sdtEndPr/>
              <w:sdtContent>
                <w:r w:rsidR="008D5CFB">
                  <w:rPr>
                    <w:rFonts w:ascii="MS Gothic" w:eastAsia="MS Gothic" w:hAnsi="MS Gothic" w:hint="eastAsia"/>
                  </w:rPr>
                  <w:t>☐</w:t>
                </w:r>
              </w:sdtContent>
            </w:sdt>
            <w:r w:rsidR="008D5CFB">
              <w:t xml:space="preserve"> The basis of the </w:t>
            </w:r>
            <w:r w:rsidR="008D5CFB" w:rsidRPr="00174CDE">
              <w:t xml:space="preserve">permit’s monitoring and reporting </w:t>
            </w:r>
            <w:r w:rsidR="008D5CFB" w:rsidRPr="007701DF">
              <w:rPr>
                <w:kern w:val="2"/>
                <w14:ligatures w14:val="standardContextual"/>
              </w:rPr>
              <w:t>requirements</w:t>
            </w:r>
            <w:r w:rsidR="00D75D0C">
              <w:rPr>
                <w:kern w:val="2"/>
                <w14:ligatures w14:val="standardContextual"/>
              </w:rPr>
              <w:t>.</w:t>
            </w:r>
          </w:p>
        </w:tc>
      </w:tr>
      <w:tr w:rsidR="00697756" w14:paraId="3E414ADF" w14:textId="77777777" w:rsidTr="00F7649D">
        <w:tc>
          <w:tcPr>
            <w:tcW w:w="9360" w:type="dxa"/>
            <w:gridSpan w:val="2"/>
            <w:tcBorders>
              <w:top w:val="single" w:sz="4" w:space="0" w:color="auto"/>
              <w:left w:val="nil"/>
              <w:bottom w:val="single" w:sz="4" w:space="0" w:color="auto"/>
              <w:right w:val="nil"/>
            </w:tcBorders>
            <w:shd w:val="clear" w:color="auto" w:fill="auto"/>
            <w:vAlign w:val="center"/>
          </w:tcPr>
          <w:p w14:paraId="3B516FF8" w14:textId="77777777" w:rsidR="00697756" w:rsidRDefault="00697756" w:rsidP="00A10CF0">
            <w:pPr>
              <w:pStyle w:val="NoSpacing"/>
              <w:ind w:left="240" w:hanging="240"/>
            </w:pPr>
          </w:p>
        </w:tc>
      </w:tr>
      <w:tr w:rsidR="00A10CF0" w14:paraId="1D3B2268" w14:textId="77777777" w:rsidTr="122203A0">
        <w:tc>
          <w:tcPr>
            <w:tcW w:w="9360" w:type="dxa"/>
            <w:gridSpan w:val="2"/>
            <w:tcBorders>
              <w:bottom w:val="single" w:sz="4" w:space="0" w:color="auto"/>
            </w:tcBorders>
            <w:shd w:val="clear" w:color="auto" w:fill="D0CECE" w:themeFill="background2" w:themeFillShade="E6"/>
            <w:vAlign w:val="center"/>
          </w:tcPr>
          <w:p w14:paraId="3ACE73BE" w14:textId="0A36BC46" w:rsidR="00A10CF0" w:rsidRPr="007D3477" w:rsidRDefault="00A10CF0" w:rsidP="00A10CF0">
            <w:pPr>
              <w:pStyle w:val="NoSpacing"/>
              <w:ind w:left="240" w:hanging="240"/>
              <w:rPr>
                <w:b/>
                <w:bCs/>
              </w:rPr>
            </w:pPr>
            <w:r w:rsidRPr="003A0E63">
              <w:rPr>
                <w:b/>
                <w:bCs/>
              </w:rPr>
              <w:t>Additional recommend</w:t>
            </w:r>
            <w:r w:rsidR="00E558E6">
              <w:rPr>
                <w:b/>
                <w:bCs/>
              </w:rPr>
              <w:t>ed information</w:t>
            </w:r>
            <w:r>
              <w:rPr>
                <w:b/>
                <w:bCs/>
              </w:rPr>
              <w:t>, where appropriate to the circumstances</w:t>
            </w:r>
            <w:r w:rsidRPr="003A0E63">
              <w:rPr>
                <w:b/>
                <w:bCs/>
              </w:rPr>
              <w:t>:</w:t>
            </w:r>
          </w:p>
        </w:tc>
      </w:tr>
      <w:tr w:rsidR="00A10CF0" w14:paraId="05E49E97" w14:textId="77777777" w:rsidTr="122203A0">
        <w:tc>
          <w:tcPr>
            <w:tcW w:w="9360" w:type="dxa"/>
            <w:gridSpan w:val="2"/>
            <w:shd w:val="clear" w:color="auto" w:fill="FFFFFF" w:themeFill="background1"/>
            <w:vAlign w:val="center"/>
          </w:tcPr>
          <w:p w14:paraId="6FC0A284" w14:textId="067E76E8" w:rsidR="00A10CF0" w:rsidRDefault="00A10CF0" w:rsidP="00A10CF0">
            <w:pPr>
              <w:pStyle w:val="NoSpacing"/>
              <w:numPr>
                <w:ilvl w:val="0"/>
                <w:numId w:val="14"/>
              </w:numPr>
              <w:ind w:left="697"/>
            </w:pPr>
            <w:r>
              <w:t>The following information for a POTW with a pretreatment program:</w:t>
            </w:r>
          </w:p>
          <w:p w14:paraId="3664CF87" w14:textId="3670EFCD" w:rsidR="00A10CF0" w:rsidRDefault="008274EF" w:rsidP="00A10CF0">
            <w:pPr>
              <w:pStyle w:val="NoSpacing"/>
              <w:numPr>
                <w:ilvl w:val="1"/>
                <w:numId w:val="14"/>
              </w:numPr>
            </w:pPr>
            <w:r>
              <w:t xml:space="preserve">Which </w:t>
            </w:r>
            <w:r w:rsidR="00A10CF0">
              <w:t xml:space="preserve">conditions at </w:t>
            </w:r>
            <w:hyperlink r:id="rId59" w:history="1">
              <w:r w:rsidR="00A10CF0" w:rsidRPr="00335ECF">
                <w:rPr>
                  <w:rStyle w:val="Hyperlink"/>
                </w:rPr>
                <w:t>40 CFR 403.8</w:t>
              </w:r>
            </w:hyperlink>
            <w:r w:rsidR="00A10CF0">
              <w:t xml:space="preserve"> </w:t>
            </w:r>
            <w:r>
              <w:t>necessitated development of a pretreatment program</w:t>
            </w:r>
            <w:r w:rsidR="00A10CF0">
              <w:t>.</w:t>
            </w:r>
          </w:p>
          <w:p w14:paraId="448A3A1F" w14:textId="04630A39" w:rsidR="00A10CF0" w:rsidRPr="00174CDE" w:rsidRDefault="00A10CF0" w:rsidP="00A10CF0">
            <w:pPr>
              <w:pStyle w:val="NoSpacing"/>
              <w:numPr>
                <w:ilvl w:val="1"/>
                <w:numId w:val="14"/>
              </w:numPr>
            </w:pPr>
            <w:r>
              <w:t xml:space="preserve">Identification of </w:t>
            </w:r>
            <w:r w:rsidRPr="005540BC">
              <w:t>the approval date(s) of the currently effective pretreatment program</w:t>
            </w:r>
            <w:r>
              <w:t>.</w:t>
            </w:r>
          </w:p>
        </w:tc>
      </w:tr>
      <w:tr w:rsidR="00A10CF0" w14:paraId="2716C59C" w14:textId="77777777" w:rsidTr="122203A0">
        <w:tc>
          <w:tcPr>
            <w:tcW w:w="9360" w:type="dxa"/>
            <w:gridSpan w:val="2"/>
            <w:tcBorders>
              <w:top w:val="single" w:sz="4" w:space="0" w:color="auto"/>
              <w:left w:val="nil"/>
              <w:right w:val="nil"/>
            </w:tcBorders>
            <w:shd w:val="clear" w:color="auto" w:fill="FFFFFF" w:themeFill="background1"/>
            <w:vAlign w:val="center"/>
          </w:tcPr>
          <w:p w14:paraId="2EA4CCD7" w14:textId="77777777" w:rsidR="00A10CF0" w:rsidRPr="00540084" w:rsidRDefault="00A10CF0" w:rsidP="00A10CF0">
            <w:pPr>
              <w:pStyle w:val="NoSpacing"/>
              <w:ind w:left="256" w:hanging="256"/>
              <w:rPr>
                <w:b/>
                <w:bCs/>
                <w:sz w:val="24"/>
                <w:szCs w:val="24"/>
              </w:rPr>
            </w:pPr>
          </w:p>
          <w:p w14:paraId="0353209C" w14:textId="77777777" w:rsidR="00A10CF0" w:rsidRPr="00174CDE" w:rsidRDefault="00A10CF0" w:rsidP="00A10CF0">
            <w:pPr>
              <w:pStyle w:val="NoSpacing"/>
            </w:pPr>
            <w:r>
              <w:rPr>
                <w:b/>
                <w:bCs/>
                <w:sz w:val="24"/>
                <w:szCs w:val="24"/>
              </w:rPr>
              <w:t>4. Administrative Requirement</w:t>
            </w:r>
            <w:r w:rsidRPr="00540084">
              <w:rPr>
                <w:b/>
                <w:bCs/>
                <w:sz w:val="24"/>
                <w:szCs w:val="24"/>
              </w:rPr>
              <w:t>s</w:t>
            </w:r>
          </w:p>
        </w:tc>
      </w:tr>
      <w:tr w:rsidR="00A10CF0" w14:paraId="4E18843D" w14:textId="77777777" w:rsidTr="122203A0">
        <w:tc>
          <w:tcPr>
            <w:tcW w:w="9360" w:type="dxa"/>
            <w:gridSpan w:val="2"/>
            <w:shd w:val="clear" w:color="auto" w:fill="A8D08D" w:themeFill="accent6" w:themeFillTint="99"/>
            <w:vAlign w:val="center"/>
          </w:tcPr>
          <w:p w14:paraId="2FA7A959" w14:textId="4FBE6107" w:rsidR="00A10CF0" w:rsidRPr="00496517" w:rsidRDefault="00A10CF0" w:rsidP="00A10CF0">
            <w:pPr>
              <w:pStyle w:val="NoSpacing"/>
              <w:ind w:left="240" w:hanging="240"/>
              <w:rPr>
                <w:b/>
                <w:bCs/>
              </w:rPr>
            </w:pPr>
            <w:r>
              <w:rPr>
                <w:b/>
                <w:bCs/>
              </w:rPr>
              <w:t>Regulatory Requirements for Administrative Procedures</w:t>
            </w:r>
            <w:r w:rsidRPr="00496517">
              <w:rPr>
                <w:b/>
                <w:bCs/>
              </w:rPr>
              <w:t>:</w:t>
            </w:r>
          </w:p>
        </w:tc>
      </w:tr>
      <w:tr w:rsidR="00A10CF0" w14:paraId="2B17B7A3" w14:textId="77777777" w:rsidTr="122203A0">
        <w:tc>
          <w:tcPr>
            <w:tcW w:w="7009" w:type="dxa"/>
            <w:tcBorders>
              <w:right w:val="dashed" w:sz="4" w:space="0" w:color="auto"/>
            </w:tcBorders>
            <w:shd w:val="clear" w:color="auto" w:fill="FFFFFF" w:themeFill="background1"/>
          </w:tcPr>
          <w:p w14:paraId="1D95E7E3" w14:textId="13511691" w:rsidR="00A10CF0" w:rsidRDefault="002E7B5B" w:rsidP="00A10CF0">
            <w:pPr>
              <w:pStyle w:val="NoSpacing"/>
              <w:ind w:left="256" w:hanging="256"/>
            </w:pPr>
            <w:sdt>
              <w:sdtPr>
                <w:id w:val="397947268"/>
                <w14:checkbox>
                  <w14:checked w14:val="0"/>
                  <w14:checkedState w14:val="2612" w14:font="MS Gothic"/>
                  <w14:uncheckedState w14:val="2610" w14:font="MS Gothic"/>
                </w14:checkbox>
              </w:sdtPr>
              <w:sdtEndPr/>
              <w:sdtContent>
                <w:r w:rsidR="00A10CF0">
                  <w:rPr>
                    <w:rFonts w:ascii="MS Gothic" w:eastAsia="MS Gothic" w:hAnsi="MS Gothic" w:hint="eastAsia"/>
                  </w:rPr>
                  <w:t>☐</w:t>
                </w:r>
              </w:sdtContent>
            </w:sdt>
            <w:r w:rsidR="00A10CF0">
              <w:t xml:space="preserve"> </w:t>
            </w:r>
            <w:r w:rsidR="00A10CF0" w:rsidRPr="00714A4F">
              <w:t xml:space="preserve">A justification for the waiver of any application requirements for POTWs or sewage sludge under </w:t>
            </w:r>
            <w:hyperlink r:id="rId60" w:anchor="p-122.21(j):~:text=during%20that%20month.-,(j),Application%20requirements%20for%20new%20and%20existing%20POTWs.,-Unless%20otherwise%20indicated" w:history="1">
              <w:r w:rsidR="00A10CF0" w:rsidRPr="006E3830">
                <w:rPr>
                  <w:rStyle w:val="Hyperlink"/>
                </w:rPr>
                <w:t>40 CFR 122.21(j)</w:t>
              </w:r>
            </w:hyperlink>
            <w:r w:rsidR="00A10CF0" w:rsidRPr="00714A4F">
              <w:t xml:space="preserve"> or </w:t>
            </w:r>
            <w:hyperlink r:id="rId61" w:anchor="p-122.21(q)(8)(iv):~:text=application%20is%20signed.-,(q),Sewage%20sludge%20management.,-All%20TWTDS%20subject" w:history="1">
              <w:r w:rsidR="00A10CF0" w:rsidRPr="003F0542">
                <w:rPr>
                  <w:rStyle w:val="Hyperlink"/>
                </w:rPr>
                <w:t>(q)</w:t>
              </w:r>
            </w:hyperlink>
            <w:r w:rsidR="00A10CF0">
              <w:t>.</w:t>
            </w:r>
            <w:r w:rsidR="00A10CF0">
              <w:rPr>
                <w:rStyle w:val="EndnoteReference"/>
              </w:rPr>
              <w:endnoteReference w:id="12"/>
            </w:r>
          </w:p>
        </w:tc>
        <w:tc>
          <w:tcPr>
            <w:tcW w:w="2351" w:type="dxa"/>
            <w:tcBorders>
              <w:left w:val="dashed" w:sz="4" w:space="0" w:color="auto"/>
            </w:tcBorders>
            <w:shd w:val="clear" w:color="auto" w:fill="FFFFFF" w:themeFill="background1"/>
            <w:vAlign w:val="center"/>
          </w:tcPr>
          <w:p w14:paraId="1AEDAD22" w14:textId="1C0B0875" w:rsidR="00A10CF0" w:rsidRPr="00A80EBC" w:rsidRDefault="002E7B5B" w:rsidP="00A10CF0">
            <w:pPr>
              <w:pStyle w:val="NoSpacing"/>
              <w:ind w:left="240" w:hanging="240"/>
            </w:pPr>
            <w:hyperlink r:id="rId62" w:anchor=":~:text=(9),this%20chapter." w:history="1">
              <w:r w:rsidR="00A10CF0" w:rsidRPr="005C6797">
                <w:rPr>
                  <w:rStyle w:val="Hyperlink"/>
                </w:rPr>
                <w:t>§124.8(b)(9)</w:t>
              </w:r>
            </w:hyperlink>
          </w:p>
        </w:tc>
      </w:tr>
      <w:tr w:rsidR="00A10CF0" w14:paraId="251CAA7F" w14:textId="77777777" w:rsidTr="00C8000D">
        <w:trPr>
          <w:trHeight w:val="620"/>
        </w:trPr>
        <w:tc>
          <w:tcPr>
            <w:tcW w:w="7009" w:type="dxa"/>
            <w:tcBorders>
              <w:right w:val="dashed" w:sz="4" w:space="0" w:color="auto"/>
            </w:tcBorders>
            <w:shd w:val="clear" w:color="auto" w:fill="FFFFFF" w:themeFill="background1"/>
            <w:vAlign w:val="center"/>
          </w:tcPr>
          <w:p w14:paraId="369D1897" w14:textId="2010CB44" w:rsidR="003E2E73" w:rsidRPr="00A80EBC" w:rsidRDefault="002E7B5B" w:rsidP="003E2E73">
            <w:pPr>
              <w:pStyle w:val="NoSpacing"/>
              <w:ind w:left="256" w:hanging="256"/>
            </w:pPr>
            <w:sdt>
              <w:sdtPr>
                <w:id w:val="2092272537"/>
                <w14:checkbox>
                  <w14:checked w14:val="0"/>
                  <w14:checkedState w14:val="2612" w14:font="MS Gothic"/>
                  <w14:uncheckedState w14:val="2610" w14:font="MS Gothic"/>
                </w14:checkbox>
              </w:sdtPr>
              <w:sdtEndPr/>
              <w:sdtContent>
                <w:r w:rsidR="00A10CF0">
                  <w:rPr>
                    <w:rFonts w:ascii="MS Gothic" w:eastAsia="MS Gothic" w:hAnsi="MS Gothic" w:hint="eastAsia"/>
                  </w:rPr>
                  <w:t>☐</w:t>
                </w:r>
              </w:sdtContent>
            </w:sdt>
            <w:r w:rsidR="00A10CF0">
              <w:t xml:space="preserve"> </w:t>
            </w:r>
            <w:r w:rsidR="00A10CF0" w:rsidRPr="00A80EBC">
              <w:t xml:space="preserve">A description of </w:t>
            </w:r>
            <w:r w:rsidR="00A10CF0">
              <w:t xml:space="preserve">the procedures for </w:t>
            </w:r>
            <w:r w:rsidR="00A10CF0" w:rsidRPr="00A80EBC">
              <w:t>reaching a final decision on the draft permit, including</w:t>
            </w:r>
            <w:r w:rsidR="00A10CF0">
              <w:t>:</w:t>
            </w:r>
          </w:p>
          <w:p w14:paraId="5D4B4DE2" w14:textId="5369547E" w:rsidR="00A10CF0" w:rsidRPr="00A80EBC" w:rsidRDefault="002E7B5B" w:rsidP="003E2E73">
            <w:pPr>
              <w:pStyle w:val="NoSpacing"/>
              <w:ind w:left="512" w:hanging="256"/>
            </w:pPr>
            <w:sdt>
              <w:sdtPr>
                <w:id w:val="1241530862"/>
                <w14:checkbox>
                  <w14:checked w14:val="0"/>
                  <w14:checkedState w14:val="2612" w14:font="MS Gothic"/>
                  <w14:uncheckedState w14:val="2610" w14:font="MS Gothic"/>
                </w14:checkbox>
              </w:sdtPr>
              <w:sdtEndPr/>
              <w:sdtContent>
                <w:r w:rsidR="00A10CF0" w:rsidRPr="00205E0B">
                  <w:rPr>
                    <w:rFonts w:ascii="Segoe UI Symbol" w:hAnsi="Segoe UI Symbol" w:cs="Segoe UI Symbol"/>
                  </w:rPr>
                  <w:t>☐</w:t>
                </w:r>
              </w:sdtContent>
            </w:sdt>
            <w:r w:rsidR="00A10CF0">
              <w:t xml:space="preserve"> </w:t>
            </w:r>
            <w:r w:rsidR="00A10CF0" w:rsidRPr="002D31C7">
              <w:t xml:space="preserve">The beginning and end dates for the public comment period, under </w:t>
            </w:r>
            <w:hyperlink r:id="rId63" w:history="1">
              <w:r w:rsidR="00A10CF0" w:rsidRPr="003F0542">
                <w:rPr>
                  <w:rStyle w:val="Hyperlink"/>
                </w:rPr>
                <w:t>40 CFR 124.10</w:t>
              </w:r>
            </w:hyperlink>
            <w:r w:rsidR="00A10CF0" w:rsidRPr="002D31C7">
              <w:t>, and the address where comments can be sent</w:t>
            </w:r>
            <w:r w:rsidR="00C8000D">
              <w:t>;</w:t>
            </w:r>
          </w:p>
          <w:p w14:paraId="2CF7B6A3" w14:textId="695A1DF9" w:rsidR="00A10CF0" w:rsidRPr="00A80EBC" w:rsidRDefault="002E7B5B" w:rsidP="003E2E73">
            <w:pPr>
              <w:pStyle w:val="NoSpacing"/>
              <w:ind w:left="512" w:hanging="256"/>
            </w:pPr>
            <w:sdt>
              <w:sdtPr>
                <w:id w:val="-569810224"/>
                <w14:checkbox>
                  <w14:checked w14:val="0"/>
                  <w14:checkedState w14:val="2612" w14:font="MS Gothic"/>
                  <w14:uncheckedState w14:val="2610" w14:font="MS Gothic"/>
                </w14:checkbox>
              </w:sdtPr>
              <w:sdtEndPr/>
              <w:sdtContent>
                <w:r w:rsidR="00A10CF0" w:rsidRPr="008076CB">
                  <w:rPr>
                    <w:rFonts w:ascii="Segoe UI Symbol" w:hAnsi="Segoe UI Symbol" w:cs="Segoe UI Symbol"/>
                  </w:rPr>
                  <w:t>☐</w:t>
                </w:r>
              </w:sdtContent>
            </w:sdt>
            <w:r w:rsidR="00A10CF0">
              <w:t xml:space="preserve"> </w:t>
            </w:r>
            <w:r w:rsidR="00A10CF0" w:rsidRPr="002D31C7">
              <w:t>Procedures for requesting a hearing and the nature of th</w:t>
            </w:r>
            <w:r w:rsidR="003E2E73">
              <w:t>at</w:t>
            </w:r>
            <w:r w:rsidR="00A10CF0" w:rsidRPr="002D31C7">
              <w:t xml:space="preserve"> hearing</w:t>
            </w:r>
            <w:r w:rsidR="00C8000D">
              <w:t>; and</w:t>
            </w:r>
          </w:p>
          <w:p w14:paraId="36265565" w14:textId="77777777" w:rsidR="00A10CF0" w:rsidRPr="00A80EBC" w:rsidRDefault="002E7B5B" w:rsidP="003E2E73">
            <w:pPr>
              <w:pStyle w:val="NoSpacing"/>
              <w:ind w:left="512" w:hanging="256"/>
            </w:pPr>
            <w:sdt>
              <w:sdtPr>
                <w:id w:val="1502703527"/>
                <w14:checkbox>
                  <w14:checked w14:val="0"/>
                  <w14:checkedState w14:val="2612" w14:font="MS Gothic"/>
                  <w14:uncheckedState w14:val="2610" w14:font="MS Gothic"/>
                </w14:checkbox>
              </w:sdtPr>
              <w:sdtEndPr/>
              <w:sdtContent>
                <w:r w:rsidR="00A10CF0" w:rsidRPr="008076CB">
                  <w:rPr>
                    <w:rFonts w:ascii="Segoe UI Symbol" w:hAnsi="Segoe UI Symbol" w:cs="Segoe UI Symbol"/>
                  </w:rPr>
                  <w:t>☐</w:t>
                </w:r>
              </w:sdtContent>
            </w:sdt>
            <w:r w:rsidR="00A10CF0">
              <w:t xml:space="preserve"> </w:t>
            </w:r>
            <w:r w:rsidR="00A10CF0" w:rsidRPr="002D31C7">
              <w:t>Any other procedures by which the public may participate in the final decision.</w:t>
            </w:r>
          </w:p>
        </w:tc>
        <w:tc>
          <w:tcPr>
            <w:tcW w:w="2351" w:type="dxa"/>
            <w:tcBorders>
              <w:left w:val="dashed" w:sz="4" w:space="0" w:color="auto"/>
            </w:tcBorders>
            <w:shd w:val="clear" w:color="auto" w:fill="FFFFFF" w:themeFill="background1"/>
            <w:vAlign w:val="center"/>
          </w:tcPr>
          <w:p w14:paraId="568AC7B7" w14:textId="3A55C582" w:rsidR="00A10CF0" w:rsidRPr="00A80EBC" w:rsidRDefault="002E7B5B" w:rsidP="00A10CF0">
            <w:pPr>
              <w:pStyle w:val="NoSpacing"/>
              <w:ind w:left="240" w:hanging="240"/>
            </w:pPr>
            <w:hyperlink r:id="rId64" w:anchor=":~:text=(6),the%20final%20decision." w:history="1">
              <w:r w:rsidR="00A10CF0" w:rsidRPr="005C6797">
                <w:rPr>
                  <w:rStyle w:val="Hyperlink"/>
                </w:rPr>
                <w:t>§124.8(b)(6)</w:t>
              </w:r>
            </w:hyperlink>
          </w:p>
        </w:tc>
      </w:tr>
      <w:tr w:rsidR="00A10CF0" w14:paraId="54036655" w14:textId="77777777" w:rsidTr="122203A0">
        <w:tc>
          <w:tcPr>
            <w:tcW w:w="7009" w:type="dxa"/>
            <w:tcBorders>
              <w:bottom w:val="single" w:sz="4" w:space="0" w:color="auto"/>
              <w:right w:val="dashed" w:sz="4" w:space="0" w:color="auto"/>
            </w:tcBorders>
            <w:shd w:val="clear" w:color="auto" w:fill="FFFFFF" w:themeFill="background1"/>
            <w:vAlign w:val="center"/>
          </w:tcPr>
          <w:p w14:paraId="57C59D02" w14:textId="77777777" w:rsidR="00A10CF0" w:rsidRDefault="002E7B5B" w:rsidP="00A10CF0">
            <w:pPr>
              <w:pStyle w:val="NoSpacing"/>
              <w:ind w:left="255" w:hanging="255"/>
              <w:rPr>
                <w:rFonts w:ascii="MS Gothic" w:eastAsia="MS Gothic" w:hAnsi="MS Gothic"/>
              </w:rPr>
            </w:pPr>
            <w:sdt>
              <w:sdtPr>
                <w:id w:val="777920264"/>
                <w14:checkbox>
                  <w14:checked w14:val="0"/>
                  <w14:checkedState w14:val="2612" w14:font="MS Gothic"/>
                  <w14:uncheckedState w14:val="2610" w14:font="MS Gothic"/>
                </w14:checkbox>
              </w:sdtPr>
              <w:sdtEndPr/>
              <w:sdtContent>
                <w:r w:rsidR="00A10CF0">
                  <w:rPr>
                    <w:rFonts w:ascii="MS Gothic" w:eastAsia="MS Gothic" w:hAnsi="MS Gothic" w:hint="eastAsia"/>
                  </w:rPr>
                  <w:t>☐</w:t>
                </w:r>
              </w:sdtContent>
            </w:sdt>
            <w:r w:rsidR="00A10CF0">
              <w:t xml:space="preserve"> </w:t>
            </w:r>
            <w:r w:rsidR="00A10CF0" w:rsidRPr="00A80EBC">
              <w:t>The name and telephone number of a person to contact for additional information</w:t>
            </w:r>
            <w:r w:rsidR="00A10CF0">
              <w:t>.</w:t>
            </w:r>
          </w:p>
        </w:tc>
        <w:tc>
          <w:tcPr>
            <w:tcW w:w="2351" w:type="dxa"/>
            <w:tcBorders>
              <w:left w:val="dashed" w:sz="4" w:space="0" w:color="auto"/>
              <w:bottom w:val="single" w:sz="4" w:space="0" w:color="auto"/>
            </w:tcBorders>
            <w:shd w:val="clear" w:color="auto" w:fill="FFFFFF" w:themeFill="background1"/>
            <w:vAlign w:val="center"/>
          </w:tcPr>
          <w:p w14:paraId="53252B85" w14:textId="19365FF9" w:rsidR="00A10CF0" w:rsidRPr="00A80EBC" w:rsidRDefault="002E7B5B" w:rsidP="00A10CF0">
            <w:pPr>
              <w:pStyle w:val="NoSpacing"/>
              <w:ind w:left="240" w:hanging="240"/>
            </w:pPr>
            <w:hyperlink r:id="rId65" w:anchor=":~:text=(7),for%20additional%20information." w:history="1">
              <w:r w:rsidR="00A10CF0" w:rsidRPr="005C6797">
                <w:rPr>
                  <w:rStyle w:val="Hyperlink"/>
                </w:rPr>
                <w:t>§124.8(b)(7)</w:t>
              </w:r>
            </w:hyperlink>
          </w:p>
        </w:tc>
      </w:tr>
      <w:tr w:rsidR="00A10CF0" w14:paraId="64860D26" w14:textId="77777777" w:rsidTr="122203A0">
        <w:tc>
          <w:tcPr>
            <w:tcW w:w="7009" w:type="dxa"/>
            <w:tcBorders>
              <w:bottom w:val="single" w:sz="4" w:space="0" w:color="auto"/>
              <w:right w:val="dashed" w:sz="4" w:space="0" w:color="auto"/>
            </w:tcBorders>
            <w:shd w:val="clear" w:color="auto" w:fill="FFFFFF" w:themeFill="background1"/>
            <w:vAlign w:val="center"/>
          </w:tcPr>
          <w:p w14:paraId="21799CA1" w14:textId="502BDE6C" w:rsidR="00A10CF0" w:rsidRDefault="002E7B5B" w:rsidP="00A10CF0">
            <w:pPr>
              <w:pStyle w:val="NoSpacing"/>
              <w:ind w:left="255" w:hanging="255"/>
            </w:pPr>
            <w:sdt>
              <w:sdtPr>
                <w:id w:val="-212189814"/>
                <w14:checkbox>
                  <w14:checked w14:val="0"/>
                  <w14:checkedState w14:val="2612" w14:font="MS Gothic"/>
                  <w14:uncheckedState w14:val="2610" w14:font="MS Gothic"/>
                </w14:checkbox>
              </w:sdtPr>
              <w:sdtEndPr/>
              <w:sdtContent>
                <w:r w:rsidR="00A10CF0">
                  <w:rPr>
                    <w:rFonts w:ascii="MS Gothic" w:eastAsia="MS Gothic" w:hAnsi="MS Gothic" w:hint="eastAsia"/>
                  </w:rPr>
                  <w:t>☐</w:t>
                </w:r>
              </w:sdtContent>
            </w:sdt>
            <w:r w:rsidR="00A10CF0">
              <w:t xml:space="preserve"> </w:t>
            </w:r>
            <w:r w:rsidR="00A10CF0" w:rsidRPr="00C8000D">
              <w:rPr>
                <w:i/>
                <w:iCs/>
              </w:rPr>
              <w:t>For an EPA-issued permit</w:t>
            </w:r>
            <w:r w:rsidR="00C8000D" w:rsidRPr="00C8000D">
              <w:rPr>
                <w:i/>
                <w:iCs/>
              </w:rPr>
              <w:t>:</w:t>
            </w:r>
            <w:r w:rsidR="00C8000D">
              <w:t xml:space="preserve"> A</w:t>
            </w:r>
            <w:r w:rsidR="00A10CF0" w:rsidRPr="00306E4E">
              <w:t xml:space="preserve">ppropriate supporting references to the administrative record required by </w:t>
            </w:r>
            <w:hyperlink r:id="rId66" w:history="1">
              <w:r w:rsidR="00A10CF0" w:rsidRPr="003F0542">
                <w:rPr>
                  <w:rStyle w:val="Hyperlink"/>
                </w:rPr>
                <w:t>40 CFR 124.9</w:t>
              </w:r>
            </w:hyperlink>
            <w:r w:rsidR="00A10CF0" w:rsidRPr="00306E4E">
              <w:t>.</w:t>
            </w:r>
            <w:r w:rsidR="00A10CF0">
              <w:rPr>
                <w:rStyle w:val="EndnoteReference"/>
              </w:rPr>
              <w:endnoteReference w:id="13"/>
            </w:r>
          </w:p>
        </w:tc>
        <w:tc>
          <w:tcPr>
            <w:tcW w:w="2351" w:type="dxa"/>
            <w:tcBorders>
              <w:left w:val="dashed" w:sz="4" w:space="0" w:color="auto"/>
              <w:bottom w:val="single" w:sz="4" w:space="0" w:color="auto"/>
            </w:tcBorders>
            <w:shd w:val="clear" w:color="auto" w:fill="FFFFFF" w:themeFill="background1"/>
            <w:vAlign w:val="center"/>
          </w:tcPr>
          <w:p w14:paraId="517A867B" w14:textId="1CD80428" w:rsidR="00A10CF0" w:rsidRPr="00A80EBC" w:rsidRDefault="002E7B5B" w:rsidP="00A10CF0">
            <w:pPr>
              <w:pStyle w:val="NoSpacing"/>
              <w:ind w:left="240" w:hanging="240"/>
            </w:pPr>
            <w:hyperlink r:id="rId67" w:anchor=":~:text=(4),EPA%2Dissued%20permits)%3B" w:history="1">
              <w:r w:rsidR="00A10CF0" w:rsidRPr="00C60DDD">
                <w:rPr>
                  <w:rStyle w:val="Hyperlink"/>
                </w:rPr>
                <w:t>§124.8(b)(4)</w:t>
              </w:r>
            </w:hyperlink>
          </w:p>
        </w:tc>
      </w:tr>
      <w:tr w:rsidR="00A10CF0" w14:paraId="51DC5974" w14:textId="77777777" w:rsidTr="122203A0">
        <w:tc>
          <w:tcPr>
            <w:tcW w:w="7009" w:type="dxa"/>
            <w:tcBorders>
              <w:bottom w:val="single" w:sz="4" w:space="0" w:color="auto"/>
              <w:right w:val="dashed" w:sz="4" w:space="0" w:color="auto"/>
            </w:tcBorders>
            <w:shd w:val="clear" w:color="auto" w:fill="FFFFFF" w:themeFill="background1"/>
            <w:vAlign w:val="center"/>
          </w:tcPr>
          <w:p w14:paraId="05B35D4D" w14:textId="797216EA" w:rsidR="00A10CF0" w:rsidRPr="00306E4E" w:rsidRDefault="002E7B5B" w:rsidP="00A10CF0">
            <w:pPr>
              <w:pStyle w:val="NoSpacing"/>
              <w:ind w:left="255" w:hanging="255"/>
            </w:pPr>
            <w:sdt>
              <w:sdtPr>
                <w:id w:val="-521315169"/>
                <w14:checkbox>
                  <w14:checked w14:val="0"/>
                  <w14:checkedState w14:val="2612" w14:font="MS Gothic"/>
                  <w14:uncheckedState w14:val="2610" w14:font="MS Gothic"/>
                </w14:checkbox>
              </w:sdtPr>
              <w:sdtEndPr/>
              <w:sdtContent>
                <w:r w:rsidR="00A10CF0" w:rsidRPr="001F038E">
                  <w:rPr>
                    <w:rFonts w:ascii="MS Gothic" w:eastAsia="MS Gothic" w:hAnsi="MS Gothic" w:hint="eastAsia"/>
                  </w:rPr>
                  <w:t>☐</w:t>
                </w:r>
              </w:sdtContent>
            </w:sdt>
            <w:r w:rsidR="00A10CF0" w:rsidRPr="001F038E">
              <w:t xml:space="preserve"> </w:t>
            </w:r>
            <w:r w:rsidR="00A10CF0" w:rsidRPr="00C8000D">
              <w:rPr>
                <w:i/>
                <w:iCs/>
              </w:rPr>
              <w:t>For an EPA-issued permit</w:t>
            </w:r>
            <w:r w:rsidR="00C8000D" w:rsidRPr="00C8000D">
              <w:rPr>
                <w:i/>
                <w:iCs/>
              </w:rPr>
              <w:t>:</w:t>
            </w:r>
            <w:r w:rsidR="00C8000D">
              <w:t xml:space="preserve"> If </w:t>
            </w:r>
            <w:r w:rsidR="00A10CF0">
              <w:t xml:space="preserve">this information is available at the time the fact sheet is being prepared, </w:t>
            </w:r>
            <w:r w:rsidR="00A10CF0" w:rsidRPr="001F038E">
              <w:t xml:space="preserve">the requirements of any state certification under </w:t>
            </w:r>
            <w:hyperlink r:id="rId68" w:history="1">
              <w:r w:rsidR="00A10CF0" w:rsidRPr="003F0542">
                <w:rPr>
                  <w:rStyle w:val="Hyperlink"/>
                </w:rPr>
                <w:t>40 CFR 124.53</w:t>
              </w:r>
            </w:hyperlink>
            <w:r w:rsidR="00907FC5">
              <w:t>,</w:t>
            </w:r>
            <w:r w:rsidR="00A10CF0">
              <w:t xml:space="preserve"> which details the procedures EPA must follow to be consistent with CWA section 401(a)(1).</w:t>
            </w:r>
            <w:r w:rsidR="00A10CF0">
              <w:rPr>
                <w:rStyle w:val="EndnoteReference"/>
              </w:rPr>
              <w:endnoteReference w:id="14"/>
            </w:r>
          </w:p>
        </w:tc>
        <w:tc>
          <w:tcPr>
            <w:tcW w:w="2351" w:type="dxa"/>
            <w:tcBorders>
              <w:left w:val="dashed" w:sz="4" w:space="0" w:color="auto"/>
              <w:bottom w:val="single" w:sz="4" w:space="0" w:color="auto"/>
            </w:tcBorders>
            <w:shd w:val="clear" w:color="auto" w:fill="FFFFFF" w:themeFill="background1"/>
            <w:vAlign w:val="center"/>
          </w:tcPr>
          <w:p w14:paraId="4D0EF511" w14:textId="271403F9" w:rsidR="00A10CF0" w:rsidRPr="00306E4E" w:rsidRDefault="002E7B5B" w:rsidP="00A10CF0">
            <w:pPr>
              <w:pStyle w:val="NoSpacing"/>
              <w:ind w:left="240" w:hanging="240"/>
            </w:pPr>
            <w:hyperlink r:id="rId69" w:anchor=":~:text=the%20application%3B%20and-,(d),permits%2C%20the%20requirements%20of%20any%20State%20certification%20under%20%C2%A7%20124.53.,-(e)" w:history="1">
              <w:r w:rsidR="00A10CF0" w:rsidRPr="005C6797">
                <w:rPr>
                  <w:rStyle w:val="Hyperlink"/>
                </w:rPr>
                <w:t>§124.56(d)</w:t>
              </w:r>
            </w:hyperlink>
          </w:p>
        </w:tc>
      </w:tr>
      <w:tr w:rsidR="00A10CF0" w:rsidRPr="00714A4F" w14:paraId="4C2284CE" w14:textId="77777777" w:rsidTr="122203A0">
        <w:tc>
          <w:tcPr>
            <w:tcW w:w="9360" w:type="dxa"/>
            <w:gridSpan w:val="2"/>
            <w:tcBorders>
              <w:left w:val="nil"/>
              <w:bottom w:val="single" w:sz="4" w:space="0" w:color="auto"/>
              <w:right w:val="nil"/>
            </w:tcBorders>
            <w:shd w:val="clear" w:color="auto" w:fill="auto"/>
            <w:vAlign w:val="center"/>
          </w:tcPr>
          <w:p w14:paraId="0D608D89" w14:textId="77777777" w:rsidR="00A10CF0" w:rsidRPr="00A468EB" w:rsidRDefault="00A10CF0" w:rsidP="00A10CF0">
            <w:pPr>
              <w:pStyle w:val="NoSpacing"/>
              <w:ind w:left="240" w:hanging="240"/>
            </w:pPr>
          </w:p>
        </w:tc>
      </w:tr>
    </w:tbl>
    <w:p w14:paraId="7CFD1472" w14:textId="0052D02F" w:rsidR="00BB1B7F" w:rsidRPr="00BB1B7F" w:rsidRDefault="00BB1B7F" w:rsidP="00BB1B7F">
      <w:pPr>
        <w:tabs>
          <w:tab w:val="left" w:pos="3060"/>
        </w:tabs>
        <w:rPr>
          <w:rFonts w:cstheme="minorHAnsi"/>
          <w:sz w:val="26"/>
          <w:szCs w:val="26"/>
        </w:rPr>
        <w:sectPr w:rsidR="00BB1B7F" w:rsidRPr="00BB1B7F" w:rsidSect="00D376BC">
          <w:headerReference w:type="even" r:id="rId70"/>
          <w:headerReference w:type="default" r:id="rId71"/>
          <w:footerReference w:type="default" r:id="rId72"/>
          <w:footnotePr>
            <w:numRestart w:val="eachSect"/>
          </w:footnotePr>
          <w:endnotePr>
            <w:numFmt w:val="decimal"/>
          </w:endnotePr>
          <w:type w:val="continuous"/>
          <w:pgSz w:w="12240" w:h="15840"/>
          <w:pgMar w:top="720" w:right="720" w:bottom="720" w:left="720" w:header="720" w:footer="720" w:gutter="0"/>
          <w:cols w:space="720"/>
          <w:titlePg/>
          <w:docGrid w:linePitch="360"/>
        </w:sectPr>
      </w:pPr>
    </w:p>
    <w:p w14:paraId="77985C3B" w14:textId="77777777" w:rsidR="003B3E3E" w:rsidRPr="00FB6850" w:rsidRDefault="003B3E3E" w:rsidP="00944FA7"/>
    <w:sectPr w:rsidR="003B3E3E" w:rsidRPr="00FB6850" w:rsidSect="00315E2A">
      <w:headerReference w:type="even" r:id="rId73"/>
      <w:headerReference w:type="default" r:id="rId74"/>
      <w:footerReference w:type="default" r:id="rId75"/>
      <w:headerReference w:type="first" r:id="rId76"/>
      <w:footerReference w:type="first" r:id="rId77"/>
      <w:footnotePr>
        <w:numRestart w:val="eachSect"/>
      </w:footnotePr>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8D5A" w14:textId="77777777" w:rsidR="003060AA" w:rsidRDefault="003060AA" w:rsidP="00DF5244">
      <w:pPr>
        <w:spacing w:after="0" w:line="240" w:lineRule="auto"/>
      </w:pPr>
      <w:r>
        <w:separator/>
      </w:r>
    </w:p>
  </w:endnote>
  <w:endnote w:type="continuationSeparator" w:id="0">
    <w:p w14:paraId="67F82D4A" w14:textId="77777777" w:rsidR="003060AA" w:rsidRDefault="003060AA" w:rsidP="00DF5244">
      <w:pPr>
        <w:spacing w:after="0" w:line="240" w:lineRule="auto"/>
      </w:pPr>
      <w:r>
        <w:continuationSeparator/>
      </w:r>
    </w:p>
  </w:endnote>
  <w:endnote w:type="continuationNotice" w:id="1">
    <w:p w14:paraId="70217DC5" w14:textId="77777777" w:rsidR="003060AA" w:rsidRDefault="003060AA">
      <w:pPr>
        <w:spacing w:after="0" w:line="240" w:lineRule="auto"/>
      </w:pPr>
    </w:p>
  </w:endnote>
  <w:endnote w:id="2">
    <w:p w14:paraId="5D7D2C62" w14:textId="77777777" w:rsidR="00D376BC" w:rsidRDefault="00D376BC" w:rsidP="00D376BC">
      <w:pPr>
        <w:pStyle w:val="EndnoteText"/>
      </w:pPr>
      <w:r>
        <w:rPr>
          <w:rStyle w:val="EndnoteReference"/>
        </w:rPr>
        <w:endnoteRef/>
      </w:r>
      <w:r>
        <w:t xml:space="preserve"> Acronyms used in the preceding tables:</w:t>
      </w:r>
    </w:p>
    <w:p w14:paraId="261CA477" w14:textId="77777777" w:rsidR="00D376BC" w:rsidRPr="00C712F4" w:rsidRDefault="00D376BC" w:rsidP="00D376BC">
      <w:pPr>
        <w:pStyle w:val="EndnoteText"/>
        <w:ind w:left="720"/>
      </w:pPr>
      <w:r w:rsidRPr="00C712F4">
        <w:t>BAT:</w:t>
      </w:r>
      <w:r w:rsidRPr="00C712F4">
        <w:tab/>
      </w:r>
      <w:r>
        <w:t>B</w:t>
      </w:r>
      <w:r w:rsidRPr="00536718">
        <w:t>est available technology economically achievable</w:t>
      </w:r>
      <w:r>
        <w:tab/>
      </w:r>
      <w:r w:rsidRPr="00C712F4">
        <w:t>NSCIU:</w:t>
      </w:r>
      <w:r w:rsidRPr="00C712F4">
        <w:tab/>
        <w:t xml:space="preserve">Non-significant </w:t>
      </w:r>
      <w:r>
        <w:t>CIU</w:t>
      </w:r>
    </w:p>
    <w:p w14:paraId="33DE27A6" w14:textId="77777777" w:rsidR="00D376BC" w:rsidRPr="00C712F4" w:rsidRDefault="00D376BC" w:rsidP="00D376BC">
      <w:pPr>
        <w:pStyle w:val="EndnoteText"/>
        <w:ind w:left="720"/>
      </w:pPr>
      <w:r w:rsidRPr="00C712F4">
        <w:t>BCT:</w:t>
      </w:r>
      <w:r w:rsidRPr="00C712F4">
        <w:tab/>
      </w:r>
      <w:r>
        <w:t>B</w:t>
      </w:r>
      <w:r w:rsidRPr="00536718">
        <w:t>est conventional technology</w:t>
      </w:r>
      <w:r>
        <w:tab/>
      </w:r>
      <w:r>
        <w:tab/>
      </w:r>
      <w:r>
        <w:tab/>
      </w:r>
      <w:r w:rsidRPr="00C712F4">
        <w:t>NSPS:</w:t>
      </w:r>
      <w:r w:rsidRPr="00C712F4">
        <w:tab/>
        <w:t>New source performance standard(s)</w:t>
      </w:r>
    </w:p>
    <w:p w14:paraId="6CA3CA8B" w14:textId="77777777" w:rsidR="00D376BC" w:rsidRPr="00C712F4" w:rsidRDefault="00D376BC" w:rsidP="00D376BC">
      <w:pPr>
        <w:pStyle w:val="EndnoteText"/>
        <w:ind w:left="720"/>
      </w:pPr>
      <w:r w:rsidRPr="00C712F4">
        <w:t>BMP:</w:t>
      </w:r>
      <w:r w:rsidRPr="00C712F4">
        <w:tab/>
      </w:r>
      <w:r>
        <w:t>B</w:t>
      </w:r>
      <w:r w:rsidRPr="00C712F4">
        <w:t>est management practice</w:t>
      </w:r>
      <w:r>
        <w:tab/>
      </w:r>
      <w:r>
        <w:tab/>
      </w:r>
      <w:r>
        <w:tab/>
      </w:r>
      <w:r w:rsidRPr="00C712F4">
        <w:t>POTW:</w:t>
      </w:r>
      <w:r w:rsidRPr="00C712F4">
        <w:tab/>
        <w:t>Publicly owned treatment works</w:t>
      </w:r>
    </w:p>
    <w:p w14:paraId="629E1C06" w14:textId="77777777" w:rsidR="00D376BC" w:rsidRPr="00C712F4" w:rsidRDefault="00D376BC" w:rsidP="00D376BC">
      <w:pPr>
        <w:pStyle w:val="EndnoteText"/>
        <w:ind w:left="720"/>
      </w:pPr>
      <w:r w:rsidRPr="00C712F4">
        <w:t>BOD</w:t>
      </w:r>
      <w:r w:rsidRPr="00364AEB">
        <w:rPr>
          <w:vertAlign w:val="subscript"/>
        </w:rPr>
        <w:t>5</w:t>
      </w:r>
      <w:r w:rsidRPr="00C712F4">
        <w:t>:</w:t>
      </w:r>
      <w:r w:rsidRPr="00C712F4">
        <w:tab/>
        <w:t>5-day biochemical oxygen demand</w:t>
      </w:r>
      <w:r>
        <w:tab/>
      </w:r>
      <w:r>
        <w:tab/>
      </w:r>
      <w:r>
        <w:tab/>
        <w:t>RP:</w:t>
      </w:r>
      <w:r w:rsidRPr="00C712F4">
        <w:tab/>
        <w:t>Reasonable potential</w:t>
      </w:r>
    </w:p>
    <w:p w14:paraId="66A5F0D0" w14:textId="77777777" w:rsidR="00D376BC" w:rsidRPr="00C712F4" w:rsidRDefault="00D376BC" w:rsidP="00D376BC">
      <w:pPr>
        <w:pStyle w:val="EndnoteText"/>
        <w:ind w:left="720"/>
      </w:pPr>
      <w:r w:rsidRPr="00C712F4">
        <w:t>BPT:</w:t>
      </w:r>
      <w:r w:rsidRPr="00C712F4">
        <w:tab/>
      </w:r>
      <w:r>
        <w:t>B</w:t>
      </w:r>
      <w:r w:rsidRPr="00536718">
        <w:t>est practicable technology</w:t>
      </w:r>
      <w:r>
        <w:tab/>
      </w:r>
      <w:r>
        <w:tab/>
      </w:r>
      <w:r>
        <w:tab/>
      </w:r>
      <w:r w:rsidRPr="00C712F4">
        <w:t>SIU:</w:t>
      </w:r>
      <w:r w:rsidRPr="00C712F4">
        <w:tab/>
        <w:t>Significant industrial user</w:t>
      </w:r>
    </w:p>
    <w:p w14:paraId="07144537" w14:textId="77777777" w:rsidR="00D376BC" w:rsidRPr="00C712F4" w:rsidRDefault="00D376BC" w:rsidP="00D376BC">
      <w:pPr>
        <w:pStyle w:val="EndnoteText"/>
        <w:ind w:left="720"/>
      </w:pPr>
      <w:r w:rsidRPr="00C712F4">
        <w:t>CBOD</w:t>
      </w:r>
      <w:r w:rsidRPr="00364AEB">
        <w:rPr>
          <w:vertAlign w:val="subscript"/>
        </w:rPr>
        <w:t>5</w:t>
      </w:r>
      <w:r w:rsidRPr="00C712F4">
        <w:t>:</w:t>
      </w:r>
      <w:r w:rsidRPr="00C712F4">
        <w:tab/>
        <w:t>5-day carbonaceous biochemical oxygen demand</w:t>
      </w:r>
      <w:r>
        <w:tab/>
      </w:r>
      <w:r w:rsidRPr="00C712F4">
        <w:t>TMDL:</w:t>
      </w:r>
      <w:r w:rsidRPr="00C712F4">
        <w:tab/>
        <w:t>Total maximum daily load</w:t>
      </w:r>
    </w:p>
    <w:p w14:paraId="2FB006CE" w14:textId="77777777" w:rsidR="00D376BC" w:rsidRPr="00C712F4" w:rsidRDefault="00D376BC" w:rsidP="00D376BC">
      <w:pPr>
        <w:pStyle w:val="EndnoteText"/>
        <w:ind w:left="720"/>
      </w:pPr>
      <w:r w:rsidRPr="00C712F4">
        <w:t>CFR:</w:t>
      </w:r>
      <w:r w:rsidRPr="00C712F4">
        <w:tab/>
        <w:t>Code of Federal Regulations</w:t>
      </w:r>
      <w:r>
        <w:tab/>
      </w:r>
      <w:r>
        <w:tab/>
      </w:r>
      <w:r>
        <w:tab/>
      </w:r>
      <w:r w:rsidRPr="00C712F4">
        <w:t>TSS:</w:t>
      </w:r>
      <w:r w:rsidRPr="00C712F4">
        <w:tab/>
        <w:t>Total suspended solids</w:t>
      </w:r>
    </w:p>
    <w:p w14:paraId="0F01CCAE" w14:textId="77777777" w:rsidR="00D376BC" w:rsidRPr="00C712F4" w:rsidRDefault="00D376BC" w:rsidP="00D376BC">
      <w:pPr>
        <w:pStyle w:val="EndnoteText"/>
        <w:ind w:left="720"/>
      </w:pPr>
      <w:r w:rsidRPr="00C712F4">
        <w:t>CWA:</w:t>
      </w:r>
      <w:r w:rsidRPr="00C712F4">
        <w:tab/>
      </w:r>
      <w:r>
        <w:t>Clean Water Act</w:t>
      </w:r>
      <w:r>
        <w:tab/>
      </w:r>
      <w:r>
        <w:tab/>
      </w:r>
      <w:r>
        <w:tab/>
      </w:r>
      <w:r>
        <w:tab/>
      </w:r>
      <w:r>
        <w:tab/>
      </w:r>
      <w:r w:rsidRPr="00C712F4">
        <w:t>WET:</w:t>
      </w:r>
      <w:r w:rsidRPr="00C712F4">
        <w:tab/>
        <w:t>Whole effluent toxicity</w:t>
      </w:r>
    </w:p>
    <w:p w14:paraId="5315D965" w14:textId="77777777" w:rsidR="00D376BC" w:rsidRPr="00C712F4" w:rsidRDefault="00D376BC" w:rsidP="00D376BC">
      <w:pPr>
        <w:pStyle w:val="EndnoteText"/>
        <w:ind w:left="720"/>
      </w:pPr>
      <w:r w:rsidRPr="00C712F4">
        <w:t>ELG:</w:t>
      </w:r>
      <w:r w:rsidRPr="00C712F4">
        <w:tab/>
        <w:t>Effluent limitations guideline</w:t>
      </w:r>
      <w:r>
        <w:tab/>
      </w:r>
      <w:r>
        <w:tab/>
      </w:r>
      <w:r>
        <w:tab/>
      </w:r>
      <w:r w:rsidRPr="00C712F4">
        <w:t>WLA:</w:t>
      </w:r>
      <w:r w:rsidRPr="00C712F4">
        <w:tab/>
        <w:t>Wasteload allocation</w:t>
      </w:r>
    </w:p>
    <w:p w14:paraId="0841DBA6" w14:textId="77777777" w:rsidR="00D376BC" w:rsidRPr="00C712F4" w:rsidRDefault="00D376BC" w:rsidP="00D376BC">
      <w:pPr>
        <w:pStyle w:val="EndnoteText"/>
        <w:ind w:left="720"/>
      </w:pPr>
      <w:r w:rsidRPr="00C712F4">
        <w:t>HAC:</w:t>
      </w:r>
      <w:r w:rsidRPr="00C712F4">
        <w:tab/>
        <w:t xml:space="preserve">Highest attainable condition </w:t>
      </w:r>
      <w:r>
        <w:tab/>
      </w:r>
      <w:r>
        <w:tab/>
      </w:r>
      <w:r>
        <w:tab/>
      </w:r>
      <w:r w:rsidRPr="00C712F4">
        <w:t>WQBEL:</w:t>
      </w:r>
      <w:r w:rsidRPr="00C712F4">
        <w:tab/>
        <w:t>Water quality-based effluent limit</w:t>
      </w:r>
    </w:p>
    <w:p w14:paraId="61942E9E" w14:textId="77777777" w:rsidR="00D376BC" w:rsidRPr="00C712F4" w:rsidRDefault="00D376BC" w:rsidP="00D376BC">
      <w:pPr>
        <w:pStyle w:val="EndnoteText"/>
        <w:ind w:left="720"/>
      </w:pPr>
      <w:r w:rsidRPr="00C712F4">
        <w:t>NPDES:</w:t>
      </w:r>
      <w:r w:rsidRPr="00C712F4">
        <w:tab/>
        <w:t>National Pollutant Discharge Elimination System</w:t>
      </w:r>
      <w:r>
        <w:tab/>
      </w:r>
      <w:r w:rsidRPr="00C712F4">
        <w:t>WQS:</w:t>
      </w:r>
      <w:r w:rsidRPr="00C712F4">
        <w:tab/>
        <w:t>Water quality standard(s)</w:t>
      </w:r>
    </w:p>
    <w:p w14:paraId="0CCD4FE6" w14:textId="77777777" w:rsidR="00D376BC" w:rsidRDefault="00D376BC" w:rsidP="00D376BC">
      <w:pPr>
        <w:pStyle w:val="EndnoteText"/>
      </w:pPr>
    </w:p>
  </w:endnote>
  <w:endnote w:id="3">
    <w:p w14:paraId="6113C7D5" w14:textId="09D59C71" w:rsidR="00E51635" w:rsidRDefault="00E51635">
      <w:pPr>
        <w:pStyle w:val="EndnoteText"/>
      </w:pPr>
      <w:r>
        <w:rPr>
          <w:rStyle w:val="EndnoteReference"/>
        </w:rPr>
        <w:endnoteRef/>
      </w:r>
      <w:r>
        <w:t xml:space="preserve"> In accordance with </w:t>
      </w:r>
      <w:hyperlink r:id="rId1" w:anchor="p-122.44(d)(1)(vii)" w:history="1">
        <w:r w:rsidRPr="00023AE6">
          <w:rPr>
            <w:rStyle w:val="Hyperlink"/>
          </w:rPr>
          <w:t>40 CFR 124.10(d)(1)(vii)</w:t>
        </w:r>
      </w:hyperlink>
      <w:r>
        <w:t>, all public notices must contain “</w:t>
      </w:r>
      <w:r w:rsidRPr="002E06E5">
        <w:t>a general description of the location of each existing or proposed discharge point and the name of the receiving water and the sludge use and disposal practice(s) and the location of each sludge treatment works treating domestic sewage and use or disposal sites known at the time of permit application.</w:t>
      </w:r>
      <w:r>
        <w:t>”</w:t>
      </w:r>
      <w:r w:rsidRPr="002E06E5">
        <w:t xml:space="preserve"> </w:t>
      </w:r>
      <w:r>
        <w:t>This information might also be helpful in the fact sheet.</w:t>
      </w:r>
    </w:p>
    <w:p w14:paraId="40BA90CA" w14:textId="77777777" w:rsidR="00E51635" w:rsidRDefault="00E51635">
      <w:pPr>
        <w:pStyle w:val="EndnoteText"/>
      </w:pPr>
    </w:p>
  </w:endnote>
  <w:endnote w:id="4">
    <w:p w14:paraId="1F7DF48C" w14:textId="77777777" w:rsidR="000A16DC" w:rsidRPr="004F10A4" w:rsidRDefault="000A16DC" w:rsidP="000A16DC">
      <w:pPr>
        <w:pStyle w:val="EndnoteText"/>
      </w:pPr>
      <w:r>
        <w:rPr>
          <w:rStyle w:val="EndnoteReference"/>
        </w:rPr>
        <w:endnoteRef/>
      </w:r>
      <w:r>
        <w:t xml:space="preserve"> Under </w:t>
      </w:r>
      <w:hyperlink r:id="rId2" w:anchor="p-122.44(d)" w:history="1">
        <w:r w:rsidRPr="005E2A5D">
          <w:rPr>
            <w:rStyle w:val="Hyperlink"/>
          </w:rPr>
          <w:t>40 CFR 122.44(d)</w:t>
        </w:r>
      </w:hyperlink>
      <w:r>
        <w:t xml:space="preserve">, permits must include conditions </w:t>
      </w:r>
      <w:r w:rsidRPr="004F10A4">
        <w:t xml:space="preserve">more stringent than those based on </w:t>
      </w:r>
      <w:r>
        <w:t xml:space="preserve">ELGs </w:t>
      </w:r>
      <w:r w:rsidRPr="004F10A4">
        <w:t>where necessary to:</w:t>
      </w:r>
    </w:p>
    <w:p w14:paraId="3E1B54F6" w14:textId="77777777" w:rsidR="000A16DC" w:rsidRDefault="000A16DC" w:rsidP="000A16DC">
      <w:pPr>
        <w:pStyle w:val="EndnoteText"/>
        <w:ind w:left="720"/>
      </w:pPr>
      <w:r>
        <w:t>(1) and (2): Achieve water quality standards or an otherwise-specified level of water quality;</w:t>
      </w:r>
    </w:p>
    <w:p w14:paraId="39972806" w14:textId="77777777" w:rsidR="000A16DC" w:rsidRPr="004F10A4" w:rsidRDefault="000A16DC" w:rsidP="000A16DC">
      <w:pPr>
        <w:pStyle w:val="EndnoteText"/>
        <w:ind w:left="720"/>
      </w:pPr>
      <w:r w:rsidRPr="004F10A4">
        <w:t xml:space="preserve">(3) and (4): Conform to state 401 certification requirements for an EPA-issued permit; </w:t>
      </w:r>
    </w:p>
    <w:p w14:paraId="76E75308" w14:textId="3020F24E" w:rsidR="000A16DC" w:rsidRPr="004F10A4" w:rsidRDefault="000A16DC" w:rsidP="000A16DC">
      <w:pPr>
        <w:pStyle w:val="EndnoteText"/>
        <w:ind w:left="720"/>
      </w:pPr>
      <w:r w:rsidRPr="004F10A4">
        <w:t xml:space="preserve">(5) </w:t>
      </w:r>
      <w:r w:rsidR="00AA747B">
        <w:t>Incorporate m</w:t>
      </w:r>
      <w:r w:rsidRPr="004F10A4">
        <w:t>ore stringent effluent limits, treatment standards, or other requirements under state or federal law;</w:t>
      </w:r>
    </w:p>
    <w:p w14:paraId="2369467B" w14:textId="77777777" w:rsidR="000A16DC" w:rsidRPr="004F10A4" w:rsidRDefault="000A16DC" w:rsidP="000A16DC">
      <w:pPr>
        <w:pStyle w:val="EndnoteText"/>
        <w:ind w:left="720"/>
      </w:pPr>
      <w:r w:rsidRPr="004F10A4">
        <w:t xml:space="preserve">(6) Ensure consistency with a CWA section 208(b) water quality management plan; </w:t>
      </w:r>
    </w:p>
    <w:p w14:paraId="18C197CE" w14:textId="77777777" w:rsidR="000A16DC" w:rsidRPr="004F10A4" w:rsidRDefault="000A16DC" w:rsidP="000A16DC">
      <w:pPr>
        <w:pStyle w:val="EndnoteText"/>
        <w:ind w:left="720"/>
      </w:pPr>
      <w:r w:rsidRPr="004F10A4">
        <w:t xml:space="preserve">(7) Incorporate ocean discharge criteria under CWA section 403(c); </w:t>
      </w:r>
    </w:p>
    <w:p w14:paraId="55E97960" w14:textId="77777777" w:rsidR="000A16DC" w:rsidRPr="004F10A4" w:rsidRDefault="000A16DC" w:rsidP="000A16DC">
      <w:pPr>
        <w:pStyle w:val="EndnoteText"/>
        <w:ind w:left="720"/>
      </w:pPr>
      <w:r w:rsidRPr="004F10A4">
        <w:t xml:space="preserve">(8) Address a “fundamentally different factors” variance; </w:t>
      </w:r>
    </w:p>
    <w:p w14:paraId="78E232E9" w14:textId="77777777" w:rsidR="000A16DC" w:rsidRPr="004F10A4" w:rsidRDefault="000A16DC" w:rsidP="000A16DC">
      <w:pPr>
        <w:pStyle w:val="EndnoteText"/>
        <w:ind w:left="720"/>
      </w:pPr>
      <w:r w:rsidRPr="004F10A4">
        <w:t>(9) Incorporate any other requirements into a new source permit pursuant to the National Environmental Policy Act and CWA section 511 for an EPA-issued permit.</w:t>
      </w:r>
    </w:p>
    <w:p w14:paraId="18C80916" w14:textId="77777777" w:rsidR="000A16DC" w:rsidRDefault="000A16DC" w:rsidP="000A16DC">
      <w:pPr>
        <w:pStyle w:val="EndnoteText"/>
      </w:pPr>
    </w:p>
  </w:endnote>
  <w:endnote w:id="5">
    <w:p w14:paraId="0EB142E4" w14:textId="3629B6B4" w:rsidR="00B915D6" w:rsidRDefault="00B915D6">
      <w:pPr>
        <w:pStyle w:val="EndnoteText"/>
        <w:rPr>
          <w:i/>
          <w:iCs/>
        </w:rPr>
      </w:pPr>
      <w:r>
        <w:rPr>
          <w:rStyle w:val="EndnoteReference"/>
        </w:rPr>
        <w:endnoteRef/>
      </w:r>
      <w:r>
        <w:t xml:space="preserve"> </w:t>
      </w:r>
      <w:r w:rsidRPr="00192F09">
        <w:t xml:space="preserve">Under </w:t>
      </w:r>
      <w:hyperlink r:id="rId3" w:anchor="p-122.44(e):~:text=1)(i).-,(1),to%20the%20permittee%20under%20%C2%A7%20125.3(c)%20of%20this%20chapter%3B,-or" w:history="1">
        <w:r w:rsidRPr="00192F09">
          <w:rPr>
            <w:rStyle w:val="Hyperlink"/>
          </w:rPr>
          <w:t>40 CFR 122.44(e)(1)</w:t>
        </w:r>
      </w:hyperlink>
      <w:r w:rsidRPr="00192F09">
        <w:t xml:space="preserve">, limits must control all toxic pollutants which are or may be discharged at a level greater than the level which can be achieved by the technology-based requirements appropriate to the permittee through one of the following three methods described in </w:t>
      </w:r>
      <w:hyperlink r:id="rId4" w:anchor=":~:text=deadline%20(subpart%20C).-,(c),example%2C%20technology%2Dbased%20or%20water%2Dquality%2Dbased%20standards)%20of%20the%20Act.,-(d)" w:history="1">
        <w:r w:rsidRPr="00192F09">
          <w:rPr>
            <w:rStyle w:val="Hyperlink"/>
          </w:rPr>
          <w:t>40 CFR 125.3(c)</w:t>
        </w:r>
      </w:hyperlink>
      <w:r w:rsidRPr="00192F09">
        <w:t>: (1) application of EPA-promulgated effluent limits developed under CWA section 304 to dischargers by category or subcategory; (2) setting case-by-case limits; or (3)</w:t>
      </w:r>
      <w:r w:rsidR="005E2A5D">
        <w:t> </w:t>
      </w:r>
      <w:r w:rsidRPr="00192F09">
        <w:t xml:space="preserve">through a combination of the methods in </w:t>
      </w:r>
      <w:hyperlink r:id="rId5" w:anchor="p-125.3(d):~:text=of%20the%20Act.-,(d),Non%2Dwater%20quality%20environmental%20impact%20(including%20energy%20requirements).,-(2)" w:history="1">
        <w:r w:rsidRPr="00192F09">
          <w:rPr>
            <w:rStyle w:val="Hyperlink"/>
          </w:rPr>
          <w:t>40 CFR 125.3(d)(1)</w:t>
        </w:r>
      </w:hyperlink>
      <w:r w:rsidRPr="00192F09">
        <w:t xml:space="preserve"> and </w:t>
      </w:r>
      <w:hyperlink r:id="rId6" w:anchor="p-125.3(d):~:text=including%20energy%20requirements).-,(2),Non%2Dwater%20quality%20environmental%20impact%20(including%20energy%20requirements).,-(3)" w:history="1">
        <w:r w:rsidRPr="00192F09">
          <w:rPr>
            <w:rStyle w:val="Hyperlink"/>
          </w:rPr>
          <w:t>(2)</w:t>
        </w:r>
      </w:hyperlink>
      <w:r w:rsidRPr="00192F09">
        <w:t xml:space="preserve"> for BPT and BCT.</w:t>
      </w:r>
    </w:p>
    <w:p w14:paraId="06CEE296" w14:textId="77777777" w:rsidR="00B915D6" w:rsidRDefault="00B915D6">
      <w:pPr>
        <w:pStyle w:val="EndnoteText"/>
      </w:pPr>
    </w:p>
  </w:endnote>
  <w:endnote w:id="6">
    <w:p w14:paraId="38A432E7" w14:textId="20A7CAAD" w:rsidR="00D72B9F" w:rsidRDefault="00D72B9F">
      <w:pPr>
        <w:pStyle w:val="EndnoteText"/>
        <w:rPr>
          <w:i/>
          <w:iCs/>
        </w:rPr>
      </w:pPr>
      <w:r>
        <w:rPr>
          <w:rStyle w:val="EndnoteReference"/>
        </w:rPr>
        <w:endnoteRef/>
      </w:r>
      <w:r>
        <w:t xml:space="preserve"> </w:t>
      </w:r>
      <w:r w:rsidRPr="00192F09">
        <w:t xml:space="preserve">Under </w:t>
      </w:r>
      <w:hyperlink r:id="rId7" w:anchor="p-122.45(h):~:text=(h),or%20analysis%20impracticable." w:history="1">
        <w:r w:rsidRPr="00192F09">
          <w:rPr>
            <w:rStyle w:val="Hyperlink"/>
          </w:rPr>
          <w:t>40 CFR 122.45(h)</w:t>
        </w:r>
      </w:hyperlink>
      <w:r w:rsidRPr="00192F09">
        <w:t>, pollutant limits may be applied to internal waste streams if impractical or infeasible at the point of discharge.</w:t>
      </w:r>
    </w:p>
    <w:p w14:paraId="1D1EFB14" w14:textId="77777777" w:rsidR="00D72B9F" w:rsidRDefault="00D72B9F">
      <w:pPr>
        <w:pStyle w:val="EndnoteText"/>
      </w:pPr>
    </w:p>
  </w:endnote>
  <w:endnote w:id="7">
    <w:p w14:paraId="4B9566CE" w14:textId="0822D8A8" w:rsidR="0032224E" w:rsidRDefault="0032224E">
      <w:pPr>
        <w:pStyle w:val="EndnoteText"/>
        <w:rPr>
          <w:i/>
          <w:iCs/>
        </w:rPr>
      </w:pPr>
      <w:r>
        <w:rPr>
          <w:rStyle w:val="EndnoteReference"/>
        </w:rPr>
        <w:endnoteRef/>
      </w:r>
      <w:r>
        <w:t xml:space="preserve"> </w:t>
      </w:r>
      <w:r w:rsidRPr="00192F09">
        <w:t xml:space="preserve">Under </w:t>
      </w:r>
      <w:hyperlink r:id="rId8" w:anchor="p-125.3(h):~:text=for%20other%20pollutants.-,(h),discharges%20of%20toxic%20pollutants%20above%20levels%20reported%20in%20the%20application%20form).,-(Clean%20Water%20Act" w:history="1">
        <w:r w:rsidRPr="00192F09">
          <w:rPr>
            <w:rStyle w:val="Hyperlink"/>
          </w:rPr>
          <w:t>40 CFR 125.3(h)</w:t>
        </w:r>
      </w:hyperlink>
      <w:r w:rsidRPr="00192F09">
        <w:t>, the Director may under certain circumstances set levels for conventional and nonconventional pollutants as “indicator” pollutants for achieving BAT.</w:t>
      </w:r>
    </w:p>
    <w:p w14:paraId="03DEA5C6" w14:textId="77777777" w:rsidR="0032224E" w:rsidRDefault="0032224E">
      <w:pPr>
        <w:pStyle w:val="EndnoteText"/>
      </w:pPr>
    </w:p>
  </w:endnote>
  <w:endnote w:id="8">
    <w:p w14:paraId="0027A48C" w14:textId="2B5D91A5" w:rsidR="007551B7" w:rsidRDefault="007551B7">
      <w:pPr>
        <w:pStyle w:val="EndnoteText"/>
      </w:pPr>
      <w:r w:rsidRPr="007551B7">
        <w:rPr>
          <w:rStyle w:val="EndnoteReference"/>
        </w:rPr>
        <w:endnoteRef/>
      </w:r>
      <w:r w:rsidRPr="007551B7">
        <w:t xml:space="preserve"> Under </w:t>
      </w:r>
      <w:hyperlink r:id="rId9" w:anchor="p-122.44(a)(2):~:text=(2),guidelines%20and%20standards." w:history="1">
        <w:r w:rsidRPr="007551B7">
          <w:rPr>
            <w:rStyle w:val="Hyperlink"/>
          </w:rPr>
          <w:t>40 CFR 122.44(a)(2)</w:t>
        </w:r>
      </w:hyperlink>
      <w:r w:rsidRPr="007551B7">
        <w:t>, the permitting authority may waive sampling requirements for a pollutant subject to a TBEL if the discharger demonstrates that the pollutant is not present in the discharge or is present only at background levels from intake water and without any increase in the pollutant due to activities of the discharger.</w:t>
      </w:r>
    </w:p>
    <w:p w14:paraId="59891CF3" w14:textId="77777777" w:rsidR="007551B7" w:rsidRPr="007551B7" w:rsidRDefault="007551B7">
      <w:pPr>
        <w:pStyle w:val="EndnoteText"/>
      </w:pPr>
    </w:p>
  </w:endnote>
  <w:endnote w:id="9">
    <w:p w14:paraId="0C2DE0B7" w14:textId="77777777" w:rsidR="00F66AD5" w:rsidRDefault="00F66AD5" w:rsidP="00F66AD5">
      <w:pPr>
        <w:pStyle w:val="EndnoteText"/>
      </w:pPr>
      <w:r>
        <w:rPr>
          <w:rStyle w:val="EndnoteReference"/>
        </w:rPr>
        <w:endnoteRef/>
      </w:r>
      <w:r>
        <w:t xml:space="preserve"> </w:t>
      </w:r>
      <w:r w:rsidRPr="00294349">
        <w:t>Often decisions to include certain requirements lead to a decision to exclude other requirements. It is just as important to document decisions to not include certain permit requirements as it is to keep a record of included items. This is one example.</w:t>
      </w:r>
    </w:p>
    <w:p w14:paraId="57128952" w14:textId="77777777" w:rsidR="00F66AD5" w:rsidRDefault="00F66AD5" w:rsidP="00F66AD5">
      <w:pPr>
        <w:pStyle w:val="EndnoteText"/>
      </w:pPr>
    </w:p>
  </w:endnote>
  <w:endnote w:id="10">
    <w:p w14:paraId="240906E9" w14:textId="4370B337" w:rsidR="009C6D5A" w:rsidRPr="00192F09" w:rsidRDefault="009C6D5A">
      <w:pPr>
        <w:pStyle w:val="EndnoteText"/>
      </w:pPr>
      <w:r w:rsidRPr="00192F09">
        <w:rPr>
          <w:rStyle w:val="EndnoteReference"/>
        </w:rPr>
        <w:endnoteRef/>
      </w:r>
      <w:r w:rsidRPr="00192F09">
        <w:t xml:space="preserve"> Under </w:t>
      </w:r>
      <w:hyperlink r:id="rId10" w:anchor="p-122.4(i):~:text=(i),this%20chapter." w:history="1">
        <w:r w:rsidRPr="00192F09">
          <w:rPr>
            <w:rStyle w:val="Hyperlink"/>
          </w:rPr>
          <w:t>40 CFR 122.4(i)</w:t>
        </w:r>
      </w:hyperlink>
      <w:r w:rsidRPr="00192F09">
        <w:t xml:space="preserve">, a permit may not be issued to a new source or new discharger </w:t>
      </w:r>
      <w:r w:rsidR="00A14391">
        <w:t xml:space="preserve">proposing to discharge into a water segment which does not meet applicable </w:t>
      </w:r>
      <w:r w:rsidR="00825806">
        <w:t xml:space="preserve">WQS </w:t>
      </w:r>
      <w:r w:rsidR="00A14391">
        <w:t xml:space="preserve">or is not expected to meet those </w:t>
      </w:r>
      <w:r w:rsidR="00825806">
        <w:t xml:space="preserve">WQS </w:t>
      </w:r>
      <w:r w:rsidR="00A14391">
        <w:t>even after the application of the effluent limitations, and for which the State or interstate agency has performed a pollutant load allocation for the pollutant to be discharged,</w:t>
      </w:r>
      <w:r w:rsidR="00825806">
        <w:t xml:space="preserve"> </w:t>
      </w:r>
      <w:r w:rsidRPr="00192F09">
        <w:t>unless the fact sheet describes how certain conditions are met.</w:t>
      </w:r>
    </w:p>
    <w:p w14:paraId="6D19AD85" w14:textId="77777777" w:rsidR="009C6D5A" w:rsidRDefault="009C6D5A">
      <w:pPr>
        <w:pStyle w:val="EndnoteText"/>
      </w:pPr>
    </w:p>
  </w:endnote>
  <w:endnote w:id="11">
    <w:p w14:paraId="2B2BFEB6" w14:textId="0F681BBA" w:rsidR="00F7649D" w:rsidRDefault="00F7649D" w:rsidP="00C8000D">
      <w:pPr>
        <w:pStyle w:val="EndnoteText"/>
      </w:pPr>
      <w:r>
        <w:rPr>
          <w:rStyle w:val="EndnoteReference"/>
        </w:rPr>
        <w:endnoteRef/>
      </w:r>
      <w:r>
        <w:t xml:space="preserve"> </w:t>
      </w:r>
      <w:r w:rsidR="005E11B5">
        <w:t>See a</w:t>
      </w:r>
      <w:r w:rsidRPr="00294349">
        <w:t xml:space="preserve">lso </w:t>
      </w:r>
      <w:r w:rsidR="005E11B5">
        <w:t>a</w:t>
      </w:r>
      <w:r w:rsidRPr="00294349">
        <w:t xml:space="preserve"> May 10, 2007 memorandum </w:t>
      </w:r>
      <w:r w:rsidR="005E11B5">
        <w:t xml:space="preserve">entitled, </w:t>
      </w:r>
      <w:r w:rsidRPr="00294349">
        <w:t>“Compliance Schedules for Water Quality-Based Effluent Limitations in NPDES Permits” from James A. Hanlon, Director of the Office of Wastewater Management (</w:t>
      </w:r>
      <w:hyperlink r:id="rId11" w:history="1">
        <w:r w:rsidRPr="00CB3FB7">
          <w:rPr>
            <w:rStyle w:val="Hyperlink"/>
          </w:rPr>
          <w:t>https://www3.epa.gov/npdes/pubs/memo_complianceschedules_may07.pdf</w:t>
        </w:r>
      </w:hyperlink>
      <w:r>
        <w:t>)</w:t>
      </w:r>
      <w:r w:rsidRPr="00294349">
        <w:t>. That memo states, in part: “In order to grant a compliance schedule in an NPDES permit, the permitting authority has to make a reasonable finding, adequately supported by the administrative record and described in the fact sheet (</w:t>
      </w:r>
      <w:hyperlink r:id="rId12" w:history="1">
        <w:r w:rsidRPr="00015B1F">
          <w:rPr>
            <w:rStyle w:val="Hyperlink"/>
          </w:rPr>
          <w:t>40 CFR 124.8</w:t>
        </w:r>
      </w:hyperlink>
      <w:r w:rsidRPr="00294349">
        <w:t xml:space="preserve">), that a compliance schedule is </w:t>
      </w:r>
      <w:r w:rsidR="005E11B5">
        <w:t>‘</w:t>
      </w:r>
      <w:r w:rsidRPr="00294349">
        <w:t>appropriate</w:t>
      </w:r>
      <w:r w:rsidR="005E11B5">
        <w:t>’</w:t>
      </w:r>
      <w:r w:rsidRPr="00294349">
        <w:t xml:space="preserve"> and that compliance with the final WQBEL is required </w:t>
      </w:r>
      <w:r w:rsidR="005E11B5">
        <w:t>‘</w:t>
      </w:r>
      <w:r w:rsidRPr="00294349">
        <w:t>as soon as possible.</w:t>
      </w:r>
      <w:r w:rsidR="005E11B5">
        <w:t>’</w:t>
      </w:r>
      <w:r w:rsidRPr="00294349">
        <w:t xml:space="preserve"> See </w:t>
      </w:r>
      <w:hyperlink r:id="rId13" w:anchor="p-122.47(a):~:text=(a),%C2%A7%20123.25)." w:history="1">
        <w:r w:rsidRPr="00271F02">
          <w:rPr>
            <w:rStyle w:val="Hyperlink"/>
          </w:rPr>
          <w:t>40 CFR 122.47(a)</w:t>
        </w:r>
      </w:hyperlink>
      <w:r w:rsidRPr="00294349">
        <w:t xml:space="preserve">, </w:t>
      </w:r>
      <w:hyperlink r:id="rId14" w:anchor="p-122.47(a):~:text=(1),under%20the%20CWA." w:history="1">
        <w:r w:rsidRPr="00015B1F">
          <w:rPr>
            <w:rStyle w:val="Hyperlink"/>
          </w:rPr>
          <w:t>122.47(a)(1)</w:t>
        </w:r>
      </w:hyperlink>
      <w:r w:rsidRPr="00294349">
        <w:t>.</w:t>
      </w:r>
      <w:r w:rsidR="005E11B5">
        <w:t>”</w:t>
      </w:r>
    </w:p>
    <w:p w14:paraId="51D757F2" w14:textId="77777777" w:rsidR="00F7649D" w:rsidRDefault="00F7649D" w:rsidP="00C8000D">
      <w:pPr>
        <w:pStyle w:val="EndnoteText"/>
      </w:pPr>
    </w:p>
  </w:endnote>
  <w:endnote w:id="12">
    <w:p w14:paraId="28DB7179" w14:textId="2B561A29" w:rsidR="00A10CF0" w:rsidRDefault="00A10CF0">
      <w:pPr>
        <w:pStyle w:val="EndnoteText"/>
        <w:rPr>
          <w:i/>
          <w:iCs/>
        </w:rPr>
      </w:pPr>
      <w:r>
        <w:rPr>
          <w:rStyle w:val="EndnoteReference"/>
        </w:rPr>
        <w:endnoteRef/>
      </w:r>
      <w:r>
        <w:t xml:space="preserve"> </w:t>
      </w:r>
      <w:r w:rsidRPr="009E7AEA">
        <w:t xml:space="preserve">Under </w:t>
      </w:r>
      <w:hyperlink r:id="rId15" w:anchor="p-122.21(j):~:text=during%20that%20month.-,(j),Application%20requirements%20for%20new%20and%20existing%20POTWs.,-Unless%20otherwise%20indicated" w:history="1">
        <w:r w:rsidRPr="009E7AEA">
          <w:rPr>
            <w:rStyle w:val="Hyperlink"/>
          </w:rPr>
          <w:t>40 CFR 122.21(j)</w:t>
        </w:r>
      </w:hyperlink>
      <w:r w:rsidRPr="009E7AEA">
        <w:t xml:space="preserve"> and </w:t>
      </w:r>
      <w:hyperlink r:id="rId16" w:anchor="p-122.21(q)(8)(iv):~:text=application%20is%20signed.-,(q),Sewage%20sludge%20management.,-All%20TWTDS%20subject" w:history="1">
        <w:r w:rsidRPr="009E7AEA">
          <w:rPr>
            <w:rStyle w:val="Hyperlink"/>
          </w:rPr>
          <w:t>(q)</w:t>
        </w:r>
      </w:hyperlink>
      <w:r w:rsidRPr="009E7AEA">
        <w:t>, the Director may waive certain application requirements if he or she has access to substantially identical information. The Director may also waive requirements for information that is not of material concern to a specific permit, if approved by the Regional Administrator.</w:t>
      </w:r>
    </w:p>
    <w:p w14:paraId="212C5E55" w14:textId="77777777" w:rsidR="00A10CF0" w:rsidRDefault="00A10CF0">
      <w:pPr>
        <w:pStyle w:val="EndnoteText"/>
      </w:pPr>
    </w:p>
  </w:endnote>
  <w:endnote w:id="13">
    <w:p w14:paraId="56BD1740" w14:textId="50C43689" w:rsidR="00A10CF0" w:rsidRDefault="00A10CF0" w:rsidP="00747DBA">
      <w:pPr>
        <w:pStyle w:val="EndnoteText"/>
      </w:pPr>
      <w:r>
        <w:rPr>
          <w:rStyle w:val="EndnoteReference"/>
        </w:rPr>
        <w:endnoteRef/>
      </w:r>
      <w:r>
        <w:t xml:space="preserve"> Under </w:t>
      </w:r>
      <w:hyperlink r:id="rId17" w:anchor="p-124.9(b):~:text=(b),C.%204321." w:history="1">
        <w:r w:rsidRPr="0002106F">
          <w:rPr>
            <w:rStyle w:val="Hyperlink"/>
          </w:rPr>
          <w:t>40 CFR 124.9(b)</w:t>
        </w:r>
      </w:hyperlink>
      <w:r>
        <w:t>, the record for EPA-issued draft permits must consist of:</w:t>
      </w:r>
    </w:p>
    <w:p w14:paraId="2F31CF9D" w14:textId="77777777" w:rsidR="00A10CF0" w:rsidRDefault="00A10CF0" w:rsidP="00521D81">
      <w:pPr>
        <w:pStyle w:val="EndnoteText"/>
        <w:ind w:left="720"/>
      </w:pPr>
      <w:r>
        <w:t>(1) The application, if required, and any supporting data furnished by the applicant;</w:t>
      </w:r>
    </w:p>
    <w:p w14:paraId="24F679F3" w14:textId="77777777" w:rsidR="00A10CF0" w:rsidRDefault="00A10CF0" w:rsidP="00521D81">
      <w:pPr>
        <w:pStyle w:val="EndnoteText"/>
        <w:ind w:left="720"/>
      </w:pPr>
      <w:r>
        <w:t>(2) The draft permit or notice of intent to deny the application or to terminate the permit;</w:t>
      </w:r>
    </w:p>
    <w:p w14:paraId="1EB136CC" w14:textId="2E0E1B43" w:rsidR="00A10CF0" w:rsidRDefault="00A10CF0" w:rsidP="00521D81">
      <w:pPr>
        <w:pStyle w:val="EndnoteText"/>
        <w:ind w:left="720"/>
      </w:pPr>
      <w:r>
        <w:t>(3) The statement of basis (</w:t>
      </w:r>
      <w:hyperlink r:id="rId18" w:history="1">
        <w:r w:rsidRPr="00B87ACE">
          <w:rPr>
            <w:rStyle w:val="Hyperlink"/>
          </w:rPr>
          <w:t>§124.7</w:t>
        </w:r>
      </w:hyperlink>
      <w:r>
        <w:t>) or fact sheet (</w:t>
      </w:r>
      <w:hyperlink r:id="rId19" w:history="1">
        <w:r w:rsidRPr="00015B1F">
          <w:rPr>
            <w:rStyle w:val="Hyperlink"/>
          </w:rPr>
          <w:t>§124.8</w:t>
        </w:r>
      </w:hyperlink>
      <w:r>
        <w:t>);</w:t>
      </w:r>
    </w:p>
    <w:p w14:paraId="0F8FE995" w14:textId="77777777" w:rsidR="00A10CF0" w:rsidRDefault="00A10CF0" w:rsidP="00521D81">
      <w:pPr>
        <w:pStyle w:val="EndnoteText"/>
        <w:ind w:left="720"/>
      </w:pPr>
      <w:r>
        <w:t>(4) All documents cited in the statement of basis or fact sheet; and</w:t>
      </w:r>
    </w:p>
    <w:p w14:paraId="1F00B8D2" w14:textId="77777777" w:rsidR="00A10CF0" w:rsidRDefault="00A10CF0" w:rsidP="00521D81">
      <w:pPr>
        <w:pStyle w:val="EndnoteText"/>
        <w:ind w:left="720"/>
      </w:pPr>
      <w:r>
        <w:t>(5) Other documents contained in the supporting file for the draft permit.</w:t>
      </w:r>
    </w:p>
    <w:p w14:paraId="79BF12E6" w14:textId="77777777" w:rsidR="00A10CF0" w:rsidRDefault="00A10CF0" w:rsidP="00521D81">
      <w:pPr>
        <w:pStyle w:val="EndnoteText"/>
        <w:ind w:left="720"/>
      </w:pPr>
      <w:r>
        <w:t xml:space="preserve">(6) For NPDES new source draft permits only, any environmental assessment, environmental impact statement (EIS), finding of no significant impact, or environmental information document and any supplement to an EIS that may have been prepared. </w:t>
      </w:r>
    </w:p>
    <w:p w14:paraId="3244EDC1" w14:textId="17A455DA" w:rsidR="00A10CF0" w:rsidRDefault="00A10CF0" w:rsidP="00747DBA">
      <w:pPr>
        <w:pStyle w:val="EndnoteText"/>
      </w:pPr>
      <w:r>
        <w:t>Although Part 124 does not provide a corresponding requirement for state-issued permits, the EPA recommends that the record for state-issued permits include the same information.</w:t>
      </w:r>
    </w:p>
    <w:p w14:paraId="26DF3FD2" w14:textId="77777777" w:rsidR="00A10CF0" w:rsidRDefault="00A10CF0" w:rsidP="00747DBA">
      <w:pPr>
        <w:pStyle w:val="EndnoteText"/>
      </w:pPr>
    </w:p>
  </w:endnote>
  <w:endnote w:id="14">
    <w:p w14:paraId="6E6152F8" w14:textId="3FED26D7" w:rsidR="00A10CF0" w:rsidRPr="00D376BC" w:rsidRDefault="00A10CF0">
      <w:pPr>
        <w:pStyle w:val="EndnoteText"/>
        <w:rPr>
          <w:rStyle w:val="cf01"/>
          <w:rFonts w:asciiTheme="minorHAnsi" w:hAnsiTheme="minorHAnsi" w:cstheme="minorHAnsi"/>
        </w:rPr>
      </w:pPr>
      <w:r w:rsidRPr="00355F1D">
        <w:rPr>
          <w:rStyle w:val="EndnoteReference"/>
          <w:rFonts w:cstheme="minorHAnsi"/>
        </w:rPr>
        <w:endnoteRef/>
      </w:r>
      <w:r w:rsidRPr="00355F1D">
        <w:rPr>
          <w:rFonts w:cstheme="minorHAnsi"/>
        </w:rPr>
        <w:t xml:space="preserve"> </w:t>
      </w:r>
      <w:r w:rsidRPr="008D4CF8">
        <w:rPr>
          <w:rFonts w:cstheme="minorHAnsi"/>
        </w:rPr>
        <w:t>T</w:t>
      </w:r>
      <w:r w:rsidRPr="008D4CF8">
        <w:rPr>
          <w:rStyle w:val="cf01"/>
          <w:rFonts w:asciiTheme="minorHAnsi" w:hAnsiTheme="minorHAnsi" w:cstheme="minorHAnsi"/>
          <w:sz w:val="20"/>
          <w:szCs w:val="20"/>
        </w:rPr>
        <w:t>he actual 401 certification might not be in hand at the time the fact sheet is prepared for a draft permit.</w:t>
      </w:r>
    </w:p>
    <w:p w14:paraId="423DBF55" w14:textId="77777777" w:rsidR="00A10CF0" w:rsidRDefault="00A10CF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214743"/>
      <w:docPartObj>
        <w:docPartGallery w:val="Page Numbers (Bottom of Page)"/>
        <w:docPartUnique/>
      </w:docPartObj>
    </w:sdtPr>
    <w:sdtEndPr>
      <w:rPr>
        <w:noProof/>
      </w:rPr>
    </w:sdtEndPr>
    <w:sdtContent>
      <w:p w14:paraId="5B104700" w14:textId="2145D1C2" w:rsidR="00B66AB4" w:rsidRDefault="00B66A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A50A73" w14:textId="77777777" w:rsidR="00B66AB4" w:rsidRDefault="00B66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871280"/>
      <w:docPartObj>
        <w:docPartGallery w:val="Page Numbers (Bottom of Page)"/>
        <w:docPartUnique/>
      </w:docPartObj>
    </w:sdtPr>
    <w:sdtEndPr>
      <w:rPr>
        <w:noProof/>
      </w:rPr>
    </w:sdtEndPr>
    <w:sdtContent>
      <w:p w14:paraId="1368DA57" w14:textId="781D8BD8" w:rsidR="004946CE" w:rsidRDefault="004946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08B6FB" w14:textId="064B5782" w:rsidR="00CE05B1" w:rsidRDefault="00CE0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DBD3" w14:textId="4E1B643D" w:rsidR="00CE05B1" w:rsidRDefault="00CE05B1">
    <w:pPr>
      <w:pStyle w:val="Footer"/>
    </w:pPr>
    <w:r w:rsidRPr="00AE1BFB">
      <w:rPr>
        <w:i/>
      </w:rPr>
      <w:t>Draft</w:t>
    </w:r>
    <w:r>
      <w:rPr>
        <w:i/>
      </w:rPr>
      <w:t>/</w:t>
    </w:r>
    <w:r w:rsidRPr="00AE1BFB">
      <w:rPr>
        <w:i/>
      </w:rPr>
      <w:t>deliberative</w:t>
    </w:r>
    <w:r>
      <w:rPr>
        <w:i/>
      </w:rPr>
      <w:t>: do not cite, quote, or distribute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F2F5" w14:textId="77777777" w:rsidR="003060AA" w:rsidRDefault="003060AA" w:rsidP="00DF5244">
      <w:pPr>
        <w:spacing w:after="0" w:line="240" w:lineRule="auto"/>
      </w:pPr>
      <w:r>
        <w:separator/>
      </w:r>
    </w:p>
  </w:footnote>
  <w:footnote w:type="continuationSeparator" w:id="0">
    <w:p w14:paraId="5B9060DD" w14:textId="77777777" w:rsidR="003060AA" w:rsidRDefault="003060AA" w:rsidP="00DF5244">
      <w:pPr>
        <w:spacing w:after="0" w:line="240" w:lineRule="auto"/>
      </w:pPr>
      <w:r>
        <w:continuationSeparator/>
      </w:r>
    </w:p>
  </w:footnote>
  <w:footnote w:type="continuationNotice" w:id="1">
    <w:p w14:paraId="69516F7A" w14:textId="77777777" w:rsidR="003060AA" w:rsidRDefault="003060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6AF3" w14:textId="6B617251" w:rsidR="00747DBA" w:rsidRDefault="00486238">
    <w:pPr>
      <w:pStyle w:val="Header"/>
    </w:pPr>
    <w:r>
      <w:rPr>
        <w:noProof/>
      </w:rPr>
      <mc:AlternateContent>
        <mc:Choice Requires="wps">
          <w:drawing>
            <wp:anchor distT="0" distB="0" distL="114300" distR="114300" simplePos="0" relativeHeight="251658243" behindDoc="1" locked="0" layoutInCell="0" allowOverlap="1" wp14:anchorId="1961C3AE" wp14:editId="2ACF3CEF">
              <wp:simplePos x="0" y="0"/>
              <wp:positionH relativeFrom="margin">
                <wp:align>center</wp:align>
              </wp:positionH>
              <wp:positionV relativeFrom="margin">
                <wp:align>center</wp:align>
              </wp:positionV>
              <wp:extent cx="5237480" cy="3142615"/>
              <wp:effectExtent l="0" t="1143000" r="0" b="657860"/>
              <wp:wrapNone/>
              <wp:docPr id="6571079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5CE820" w14:textId="77777777" w:rsidR="00486238" w:rsidRDefault="00486238" w:rsidP="00486238">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61C3AE" id="_x0000_t202" coordsize="21600,21600" o:spt="202" path="m,l,21600r21600,l21600,xe">
              <v:stroke joinstyle="miter"/>
              <v:path gradientshapeok="t" o:connecttype="rect"/>
            </v:shapetype>
            <v:shape id="Text Box 1" o:spid="_x0000_s1030" type="#_x0000_t202" style="position:absolute;margin-left:0;margin-top:0;width:412.4pt;height:247.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415CE820" w14:textId="77777777" w:rsidR="00486238" w:rsidRDefault="00486238" w:rsidP="00486238">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3E78" w14:textId="50FB52EE" w:rsidR="00F06A2D" w:rsidRDefault="00F06A2D">
    <w:pPr>
      <w:pStyle w:val="Header"/>
      <w:jc w:val="center"/>
    </w:pPr>
  </w:p>
  <w:p w14:paraId="63731D77" w14:textId="1B2138A1" w:rsidR="00747DBA" w:rsidRDefault="00747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1CCA" w14:textId="2E68649A" w:rsidR="00DF5244" w:rsidRDefault="002E7B5B">
    <w:pPr>
      <w:pStyle w:val="Header"/>
    </w:pPr>
    <w:r>
      <w:rPr>
        <w:noProof/>
      </w:rPr>
      <w:pict w14:anchorId="67B88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28751" o:spid="_x0000_s1026"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2D6E" w14:textId="57E7628E" w:rsidR="00CE05B1" w:rsidRDefault="00CE05B1">
    <w:pPr>
      <w:pStyle w:val="Header"/>
      <w:jc w:val="center"/>
    </w:pPr>
  </w:p>
  <w:p w14:paraId="33B9E6F6" w14:textId="4692E580" w:rsidR="00DF5244" w:rsidRDefault="002E7B5B">
    <w:pPr>
      <w:pStyle w:val="Header"/>
    </w:pPr>
    <w:r>
      <w:rPr>
        <w:noProof/>
      </w:rPr>
      <w:pict w14:anchorId="509C4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29330" o:spid="_x0000_s1028"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9D34" w14:textId="72E0F3BC" w:rsidR="00DF5244" w:rsidRDefault="002E7B5B">
    <w:pPr>
      <w:pStyle w:val="Header"/>
    </w:pPr>
    <w:r>
      <w:rPr>
        <w:noProof/>
      </w:rPr>
      <w:pict w14:anchorId="70BF3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28750"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30B5"/>
    <w:multiLevelType w:val="hybridMultilevel"/>
    <w:tmpl w:val="8428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7242F"/>
    <w:multiLevelType w:val="hybridMultilevel"/>
    <w:tmpl w:val="1132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138EB"/>
    <w:multiLevelType w:val="hybridMultilevel"/>
    <w:tmpl w:val="B136D4DE"/>
    <w:lvl w:ilvl="0" w:tplc="DDA6CA68">
      <w:start w:val="1"/>
      <w:numFmt w:val="bullet"/>
      <w:lvlText w:val=""/>
      <w:lvlJc w:val="left"/>
      <w:pPr>
        <w:ind w:left="720" w:hanging="360"/>
      </w:pPr>
      <w:rPr>
        <w:rFonts w:ascii="Symbol" w:hAnsi="Symbol"/>
      </w:rPr>
    </w:lvl>
    <w:lvl w:ilvl="1" w:tplc="ADAAC2E8">
      <w:start w:val="1"/>
      <w:numFmt w:val="bullet"/>
      <w:lvlText w:val=""/>
      <w:lvlJc w:val="left"/>
      <w:pPr>
        <w:ind w:left="720" w:hanging="360"/>
      </w:pPr>
      <w:rPr>
        <w:rFonts w:ascii="Symbol" w:hAnsi="Symbol"/>
      </w:rPr>
    </w:lvl>
    <w:lvl w:ilvl="2" w:tplc="F5127F0E">
      <w:start w:val="1"/>
      <w:numFmt w:val="bullet"/>
      <w:lvlText w:val=""/>
      <w:lvlJc w:val="left"/>
      <w:pPr>
        <w:ind w:left="720" w:hanging="360"/>
      </w:pPr>
      <w:rPr>
        <w:rFonts w:ascii="Symbol" w:hAnsi="Symbol"/>
      </w:rPr>
    </w:lvl>
    <w:lvl w:ilvl="3" w:tplc="CAEE958A">
      <w:start w:val="1"/>
      <w:numFmt w:val="bullet"/>
      <w:lvlText w:val=""/>
      <w:lvlJc w:val="left"/>
      <w:pPr>
        <w:ind w:left="720" w:hanging="360"/>
      </w:pPr>
      <w:rPr>
        <w:rFonts w:ascii="Symbol" w:hAnsi="Symbol"/>
      </w:rPr>
    </w:lvl>
    <w:lvl w:ilvl="4" w:tplc="5EA410B2">
      <w:start w:val="1"/>
      <w:numFmt w:val="bullet"/>
      <w:lvlText w:val=""/>
      <w:lvlJc w:val="left"/>
      <w:pPr>
        <w:ind w:left="720" w:hanging="360"/>
      </w:pPr>
      <w:rPr>
        <w:rFonts w:ascii="Symbol" w:hAnsi="Symbol"/>
      </w:rPr>
    </w:lvl>
    <w:lvl w:ilvl="5" w:tplc="CC0ED3B8">
      <w:start w:val="1"/>
      <w:numFmt w:val="bullet"/>
      <w:lvlText w:val=""/>
      <w:lvlJc w:val="left"/>
      <w:pPr>
        <w:ind w:left="720" w:hanging="360"/>
      </w:pPr>
      <w:rPr>
        <w:rFonts w:ascii="Symbol" w:hAnsi="Symbol"/>
      </w:rPr>
    </w:lvl>
    <w:lvl w:ilvl="6" w:tplc="F378C27A">
      <w:start w:val="1"/>
      <w:numFmt w:val="bullet"/>
      <w:lvlText w:val=""/>
      <w:lvlJc w:val="left"/>
      <w:pPr>
        <w:ind w:left="720" w:hanging="360"/>
      </w:pPr>
      <w:rPr>
        <w:rFonts w:ascii="Symbol" w:hAnsi="Symbol"/>
      </w:rPr>
    </w:lvl>
    <w:lvl w:ilvl="7" w:tplc="4AA85F12">
      <w:start w:val="1"/>
      <w:numFmt w:val="bullet"/>
      <w:lvlText w:val=""/>
      <w:lvlJc w:val="left"/>
      <w:pPr>
        <w:ind w:left="720" w:hanging="360"/>
      </w:pPr>
      <w:rPr>
        <w:rFonts w:ascii="Symbol" w:hAnsi="Symbol"/>
      </w:rPr>
    </w:lvl>
    <w:lvl w:ilvl="8" w:tplc="C7E63A7A">
      <w:start w:val="1"/>
      <w:numFmt w:val="bullet"/>
      <w:lvlText w:val=""/>
      <w:lvlJc w:val="left"/>
      <w:pPr>
        <w:ind w:left="720" w:hanging="360"/>
      </w:pPr>
      <w:rPr>
        <w:rFonts w:ascii="Symbol" w:hAnsi="Symbol"/>
      </w:rPr>
    </w:lvl>
  </w:abstractNum>
  <w:abstractNum w:abstractNumId="3" w15:restartNumberingAfterBreak="0">
    <w:nsid w:val="23EB20C7"/>
    <w:multiLevelType w:val="hybridMultilevel"/>
    <w:tmpl w:val="4FC6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96DA1"/>
    <w:multiLevelType w:val="hybridMultilevel"/>
    <w:tmpl w:val="B198ADCC"/>
    <w:lvl w:ilvl="0" w:tplc="04090001">
      <w:start w:val="1"/>
      <w:numFmt w:val="bullet"/>
      <w:lvlText w:val=""/>
      <w:lvlJc w:val="left"/>
      <w:pPr>
        <w:ind w:left="378" w:hanging="360"/>
      </w:pPr>
      <w:rPr>
        <w:rFonts w:ascii="Symbol" w:hAnsi="Symbol" w:hint="default"/>
      </w:rPr>
    </w:lvl>
    <w:lvl w:ilvl="1" w:tplc="04090003">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5" w15:restartNumberingAfterBreak="0">
    <w:nsid w:val="27FC1D3D"/>
    <w:multiLevelType w:val="hybridMultilevel"/>
    <w:tmpl w:val="D400B7FA"/>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15:restartNumberingAfterBreak="0">
    <w:nsid w:val="2C491791"/>
    <w:multiLevelType w:val="hybridMultilevel"/>
    <w:tmpl w:val="077ED9CC"/>
    <w:lvl w:ilvl="0" w:tplc="A67C93E6">
      <w:start w:val="1"/>
      <w:numFmt w:val="bullet"/>
      <w:lvlText w:val=""/>
      <w:lvlJc w:val="left"/>
      <w:pPr>
        <w:ind w:left="600" w:hanging="360"/>
      </w:pPr>
      <w:rPr>
        <w:rFonts w:ascii="Symbol" w:hAnsi="Symbol" w:hint="default"/>
      </w:rPr>
    </w:lvl>
    <w:lvl w:ilvl="1" w:tplc="04090005">
      <w:start w:val="1"/>
      <w:numFmt w:val="bullet"/>
      <w:lvlText w:val=""/>
      <w:lvlJc w:val="left"/>
      <w:pPr>
        <w:ind w:left="1320" w:hanging="360"/>
      </w:pPr>
      <w:rPr>
        <w:rFonts w:ascii="Wingdings" w:hAnsi="Wingdings"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36FC0D6D"/>
    <w:multiLevelType w:val="hybridMultilevel"/>
    <w:tmpl w:val="A4EA4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EF21CB"/>
    <w:multiLevelType w:val="hybridMultilevel"/>
    <w:tmpl w:val="3130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C7168"/>
    <w:multiLevelType w:val="hybridMultilevel"/>
    <w:tmpl w:val="EE14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37E00"/>
    <w:multiLevelType w:val="hybridMultilevel"/>
    <w:tmpl w:val="45FEAEE0"/>
    <w:lvl w:ilvl="0" w:tplc="3848898A">
      <w:start w:val="1"/>
      <w:numFmt w:val="bullet"/>
      <w:lvlText w:val=""/>
      <w:lvlJc w:val="left"/>
      <w:pPr>
        <w:ind w:left="720" w:hanging="360"/>
      </w:pPr>
      <w:rPr>
        <w:rFonts w:ascii="Symbol" w:hAnsi="Symbol"/>
      </w:rPr>
    </w:lvl>
    <w:lvl w:ilvl="1" w:tplc="FABCA3B4">
      <w:start w:val="1"/>
      <w:numFmt w:val="bullet"/>
      <w:lvlText w:val=""/>
      <w:lvlJc w:val="left"/>
      <w:pPr>
        <w:ind w:left="720" w:hanging="360"/>
      </w:pPr>
      <w:rPr>
        <w:rFonts w:ascii="Symbol" w:hAnsi="Symbol"/>
      </w:rPr>
    </w:lvl>
    <w:lvl w:ilvl="2" w:tplc="D1F4FBE2">
      <w:start w:val="1"/>
      <w:numFmt w:val="bullet"/>
      <w:lvlText w:val=""/>
      <w:lvlJc w:val="left"/>
      <w:pPr>
        <w:ind w:left="720" w:hanging="360"/>
      </w:pPr>
      <w:rPr>
        <w:rFonts w:ascii="Symbol" w:hAnsi="Symbol"/>
      </w:rPr>
    </w:lvl>
    <w:lvl w:ilvl="3" w:tplc="B0789018">
      <w:start w:val="1"/>
      <w:numFmt w:val="bullet"/>
      <w:lvlText w:val=""/>
      <w:lvlJc w:val="left"/>
      <w:pPr>
        <w:ind w:left="720" w:hanging="360"/>
      </w:pPr>
      <w:rPr>
        <w:rFonts w:ascii="Symbol" w:hAnsi="Symbol"/>
      </w:rPr>
    </w:lvl>
    <w:lvl w:ilvl="4" w:tplc="4D8C8B88">
      <w:start w:val="1"/>
      <w:numFmt w:val="bullet"/>
      <w:lvlText w:val=""/>
      <w:lvlJc w:val="left"/>
      <w:pPr>
        <w:ind w:left="720" w:hanging="360"/>
      </w:pPr>
      <w:rPr>
        <w:rFonts w:ascii="Symbol" w:hAnsi="Symbol"/>
      </w:rPr>
    </w:lvl>
    <w:lvl w:ilvl="5" w:tplc="45AEAE66">
      <w:start w:val="1"/>
      <w:numFmt w:val="bullet"/>
      <w:lvlText w:val=""/>
      <w:lvlJc w:val="left"/>
      <w:pPr>
        <w:ind w:left="720" w:hanging="360"/>
      </w:pPr>
      <w:rPr>
        <w:rFonts w:ascii="Symbol" w:hAnsi="Symbol"/>
      </w:rPr>
    </w:lvl>
    <w:lvl w:ilvl="6" w:tplc="17DA7638">
      <w:start w:val="1"/>
      <w:numFmt w:val="bullet"/>
      <w:lvlText w:val=""/>
      <w:lvlJc w:val="left"/>
      <w:pPr>
        <w:ind w:left="720" w:hanging="360"/>
      </w:pPr>
      <w:rPr>
        <w:rFonts w:ascii="Symbol" w:hAnsi="Symbol"/>
      </w:rPr>
    </w:lvl>
    <w:lvl w:ilvl="7" w:tplc="AD1206AA">
      <w:start w:val="1"/>
      <w:numFmt w:val="bullet"/>
      <w:lvlText w:val=""/>
      <w:lvlJc w:val="left"/>
      <w:pPr>
        <w:ind w:left="720" w:hanging="360"/>
      </w:pPr>
      <w:rPr>
        <w:rFonts w:ascii="Symbol" w:hAnsi="Symbol"/>
      </w:rPr>
    </w:lvl>
    <w:lvl w:ilvl="8" w:tplc="FB0EF420">
      <w:start w:val="1"/>
      <w:numFmt w:val="bullet"/>
      <w:lvlText w:val=""/>
      <w:lvlJc w:val="left"/>
      <w:pPr>
        <w:ind w:left="720" w:hanging="360"/>
      </w:pPr>
      <w:rPr>
        <w:rFonts w:ascii="Symbol" w:hAnsi="Symbol"/>
      </w:rPr>
    </w:lvl>
  </w:abstractNum>
  <w:abstractNum w:abstractNumId="11" w15:restartNumberingAfterBreak="0">
    <w:nsid w:val="40757C1C"/>
    <w:multiLevelType w:val="hybridMultilevel"/>
    <w:tmpl w:val="047AFEC4"/>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2" w15:restartNumberingAfterBreak="0">
    <w:nsid w:val="479E37DD"/>
    <w:multiLevelType w:val="hybridMultilevel"/>
    <w:tmpl w:val="D1B8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4606C"/>
    <w:multiLevelType w:val="hybridMultilevel"/>
    <w:tmpl w:val="9E6AFA00"/>
    <w:lvl w:ilvl="0" w:tplc="965A93F8">
      <w:start w:val="1"/>
      <w:numFmt w:val="bullet"/>
      <w:lvlText w:val=""/>
      <w:lvlJc w:val="left"/>
      <w:pPr>
        <w:ind w:left="720" w:hanging="360"/>
      </w:pPr>
      <w:rPr>
        <w:rFonts w:ascii="Symbol" w:hAnsi="Symbol"/>
      </w:rPr>
    </w:lvl>
    <w:lvl w:ilvl="1" w:tplc="2D8CB24C">
      <w:start w:val="1"/>
      <w:numFmt w:val="bullet"/>
      <w:lvlText w:val=""/>
      <w:lvlJc w:val="left"/>
      <w:pPr>
        <w:ind w:left="720" w:hanging="360"/>
      </w:pPr>
      <w:rPr>
        <w:rFonts w:ascii="Symbol" w:hAnsi="Symbol"/>
      </w:rPr>
    </w:lvl>
    <w:lvl w:ilvl="2" w:tplc="9578AF80">
      <w:start w:val="1"/>
      <w:numFmt w:val="bullet"/>
      <w:lvlText w:val=""/>
      <w:lvlJc w:val="left"/>
      <w:pPr>
        <w:ind w:left="720" w:hanging="360"/>
      </w:pPr>
      <w:rPr>
        <w:rFonts w:ascii="Symbol" w:hAnsi="Symbol"/>
      </w:rPr>
    </w:lvl>
    <w:lvl w:ilvl="3" w:tplc="5FDE3112">
      <w:start w:val="1"/>
      <w:numFmt w:val="bullet"/>
      <w:lvlText w:val=""/>
      <w:lvlJc w:val="left"/>
      <w:pPr>
        <w:ind w:left="720" w:hanging="360"/>
      </w:pPr>
      <w:rPr>
        <w:rFonts w:ascii="Symbol" w:hAnsi="Symbol"/>
      </w:rPr>
    </w:lvl>
    <w:lvl w:ilvl="4" w:tplc="D826AE68">
      <w:start w:val="1"/>
      <w:numFmt w:val="bullet"/>
      <w:lvlText w:val=""/>
      <w:lvlJc w:val="left"/>
      <w:pPr>
        <w:ind w:left="720" w:hanging="360"/>
      </w:pPr>
      <w:rPr>
        <w:rFonts w:ascii="Symbol" w:hAnsi="Symbol"/>
      </w:rPr>
    </w:lvl>
    <w:lvl w:ilvl="5" w:tplc="4EA472F2">
      <w:start w:val="1"/>
      <w:numFmt w:val="bullet"/>
      <w:lvlText w:val=""/>
      <w:lvlJc w:val="left"/>
      <w:pPr>
        <w:ind w:left="720" w:hanging="360"/>
      </w:pPr>
      <w:rPr>
        <w:rFonts w:ascii="Symbol" w:hAnsi="Symbol"/>
      </w:rPr>
    </w:lvl>
    <w:lvl w:ilvl="6" w:tplc="4A7CE892">
      <w:start w:val="1"/>
      <w:numFmt w:val="bullet"/>
      <w:lvlText w:val=""/>
      <w:lvlJc w:val="left"/>
      <w:pPr>
        <w:ind w:left="720" w:hanging="360"/>
      </w:pPr>
      <w:rPr>
        <w:rFonts w:ascii="Symbol" w:hAnsi="Symbol"/>
      </w:rPr>
    </w:lvl>
    <w:lvl w:ilvl="7" w:tplc="C85AB6E6">
      <w:start w:val="1"/>
      <w:numFmt w:val="bullet"/>
      <w:lvlText w:val=""/>
      <w:lvlJc w:val="left"/>
      <w:pPr>
        <w:ind w:left="720" w:hanging="360"/>
      </w:pPr>
      <w:rPr>
        <w:rFonts w:ascii="Symbol" w:hAnsi="Symbol"/>
      </w:rPr>
    </w:lvl>
    <w:lvl w:ilvl="8" w:tplc="43823ACC">
      <w:start w:val="1"/>
      <w:numFmt w:val="bullet"/>
      <w:lvlText w:val=""/>
      <w:lvlJc w:val="left"/>
      <w:pPr>
        <w:ind w:left="720" w:hanging="360"/>
      </w:pPr>
      <w:rPr>
        <w:rFonts w:ascii="Symbol" w:hAnsi="Symbol"/>
      </w:rPr>
    </w:lvl>
  </w:abstractNum>
  <w:abstractNum w:abstractNumId="14" w15:restartNumberingAfterBreak="0">
    <w:nsid w:val="54CB2AD5"/>
    <w:multiLevelType w:val="hybridMultilevel"/>
    <w:tmpl w:val="AF54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52C73"/>
    <w:multiLevelType w:val="hybridMultilevel"/>
    <w:tmpl w:val="FFFC35D0"/>
    <w:lvl w:ilvl="0" w:tplc="BC5223F2">
      <w:start w:val="1"/>
      <w:numFmt w:val="bullet"/>
      <w:lvlText w:val=""/>
      <w:lvlJc w:val="left"/>
      <w:pPr>
        <w:ind w:left="720" w:hanging="360"/>
      </w:pPr>
      <w:rPr>
        <w:rFonts w:ascii="Symbol" w:hAnsi="Symbol"/>
      </w:rPr>
    </w:lvl>
    <w:lvl w:ilvl="1" w:tplc="4162C9C4">
      <w:start w:val="1"/>
      <w:numFmt w:val="bullet"/>
      <w:lvlText w:val=""/>
      <w:lvlJc w:val="left"/>
      <w:pPr>
        <w:ind w:left="720" w:hanging="360"/>
      </w:pPr>
      <w:rPr>
        <w:rFonts w:ascii="Symbol" w:hAnsi="Symbol"/>
      </w:rPr>
    </w:lvl>
    <w:lvl w:ilvl="2" w:tplc="118696A8">
      <w:start w:val="1"/>
      <w:numFmt w:val="bullet"/>
      <w:lvlText w:val=""/>
      <w:lvlJc w:val="left"/>
      <w:pPr>
        <w:ind w:left="720" w:hanging="360"/>
      </w:pPr>
      <w:rPr>
        <w:rFonts w:ascii="Symbol" w:hAnsi="Symbol"/>
      </w:rPr>
    </w:lvl>
    <w:lvl w:ilvl="3" w:tplc="52A61DD6">
      <w:start w:val="1"/>
      <w:numFmt w:val="bullet"/>
      <w:lvlText w:val=""/>
      <w:lvlJc w:val="left"/>
      <w:pPr>
        <w:ind w:left="720" w:hanging="360"/>
      </w:pPr>
      <w:rPr>
        <w:rFonts w:ascii="Symbol" w:hAnsi="Symbol"/>
      </w:rPr>
    </w:lvl>
    <w:lvl w:ilvl="4" w:tplc="F8A6BBA6">
      <w:start w:val="1"/>
      <w:numFmt w:val="bullet"/>
      <w:lvlText w:val=""/>
      <w:lvlJc w:val="left"/>
      <w:pPr>
        <w:ind w:left="720" w:hanging="360"/>
      </w:pPr>
      <w:rPr>
        <w:rFonts w:ascii="Symbol" w:hAnsi="Symbol"/>
      </w:rPr>
    </w:lvl>
    <w:lvl w:ilvl="5" w:tplc="647C4B9E">
      <w:start w:val="1"/>
      <w:numFmt w:val="bullet"/>
      <w:lvlText w:val=""/>
      <w:lvlJc w:val="left"/>
      <w:pPr>
        <w:ind w:left="720" w:hanging="360"/>
      </w:pPr>
      <w:rPr>
        <w:rFonts w:ascii="Symbol" w:hAnsi="Symbol"/>
      </w:rPr>
    </w:lvl>
    <w:lvl w:ilvl="6" w:tplc="5BFEA828">
      <w:start w:val="1"/>
      <w:numFmt w:val="bullet"/>
      <w:lvlText w:val=""/>
      <w:lvlJc w:val="left"/>
      <w:pPr>
        <w:ind w:left="720" w:hanging="360"/>
      </w:pPr>
      <w:rPr>
        <w:rFonts w:ascii="Symbol" w:hAnsi="Symbol"/>
      </w:rPr>
    </w:lvl>
    <w:lvl w:ilvl="7" w:tplc="A81CDD7C">
      <w:start w:val="1"/>
      <w:numFmt w:val="bullet"/>
      <w:lvlText w:val=""/>
      <w:lvlJc w:val="left"/>
      <w:pPr>
        <w:ind w:left="720" w:hanging="360"/>
      </w:pPr>
      <w:rPr>
        <w:rFonts w:ascii="Symbol" w:hAnsi="Symbol"/>
      </w:rPr>
    </w:lvl>
    <w:lvl w:ilvl="8" w:tplc="91D878F0">
      <w:start w:val="1"/>
      <w:numFmt w:val="bullet"/>
      <w:lvlText w:val=""/>
      <w:lvlJc w:val="left"/>
      <w:pPr>
        <w:ind w:left="720" w:hanging="360"/>
      </w:pPr>
      <w:rPr>
        <w:rFonts w:ascii="Symbol" w:hAnsi="Symbol"/>
      </w:rPr>
    </w:lvl>
  </w:abstractNum>
  <w:abstractNum w:abstractNumId="16" w15:restartNumberingAfterBreak="0">
    <w:nsid w:val="619301AE"/>
    <w:multiLevelType w:val="hybridMultilevel"/>
    <w:tmpl w:val="D56E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77246"/>
    <w:multiLevelType w:val="hybridMultilevel"/>
    <w:tmpl w:val="5784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A20DA"/>
    <w:multiLevelType w:val="hybridMultilevel"/>
    <w:tmpl w:val="8D0EE86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7D6B7C"/>
    <w:multiLevelType w:val="hybridMultilevel"/>
    <w:tmpl w:val="9FC28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791534">
    <w:abstractNumId w:val="19"/>
  </w:num>
  <w:num w:numId="2" w16cid:durableId="2102022518">
    <w:abstractNumId w:val="0"/>
  </w:num>
  <w:num w:numId="3" w16cid:durableId="1983070673">
    <w:abstractNumId w:val="18"/>
  </w:num>
  <w:num w:numId="4" w16cid:durableId="1383675318">
    <w:abstractNumId w:val="14"/>
  </w:num>
  <w:num w:numId="5" w16cid:durableId="36590851">
    <w:abstractNumId w:val="5"/>
  </w:num>
  <w:num w:numId="6" w16cid:durableId="582570216">
    <w:abstractNumId w:val="6"/>
  </w:num>
  <w:num w:numId="7" w16cid:durableId="791676049">
    <w:abstractNumId w:val="16"/>
  </w:num>
  <w:num w:numId="8" w16cid:durableId="2027518574">
    <w:abstractNumId w:val="15"/>
  </w:num>
  <w:num w:numId="9" w16cid:durableId="396249751">
    <w:abstractNumId w:val="13"/>
  </w:num>
  <w:num w:numId="10" w16cid:durableId="73088911">
    <w:abstractNumId w:val="10"/>
  </w:num>
  <w:num w:numId="11" w16cid:durableId="1599830064">
    <w:abstractNumId w:val="2"/>
  </w:num>
  <w:num w:numId="12" w16cid:durableId="736318472">
    <w:abstractNumId w:val="17"/>
  </w:num>
  <w:num w:numId="13" w16cid:durableId="2051175989">
    <w:abstractNumId w:val="1"/>
  </w:num>
  <w:num w:numId="14" w16cid:durableId="387921436">
    <w:abstractNumId w:val="4"/>
  </w:num>
  <w:num w:numId="15" w16cid:durableId="613482867">
    <w:abstractNumId w:val="7"/>
  </w:num>
  <w:num w:numId="16" w16cid:durableId="1395396373">
    <w:abstractNumId w:val="12"/>
  </w:num>
  <w:num w:numId="17" w16cid:durableId="1149706069">
    <w:abstractNumId w:val="8"/>
  </w:num>
  <w:num w:numId="18" w16cid:durableId="1844582818">
    <w:abstractNumId w:val="3"/>
  </w:num>
  <w:num w:numId="19" w16cid:durableId="1145314623">
    <w:abstractNumId w:val="11"/>
  </w:num>
  <w:num w:numId="20" w16cid:durableId="125582592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numRestart w:val="eachSect"/>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07"/>
    <w:rsid w:val="0000038E"/>
    <w:rsid w:val="0000318A"/>
    <w:rsid w:val="000041A0"/>
    <w:rsid w:val="00005AFC"/>
    <w:rsid w:val="00006B5F"/>
    <w:rsid w:val="00006FAE"/>
    <w:rsid w:val="00007662"/>
    <w:rsid w:val="00007746"/>
    <w:rsid w:val="00011663"/>
    <w:rsid w:val="00011DF4"/>
    <w:rsid w:val="00012257"/>
    <w:rsid w:val="0001280A"/>
    <w:rsid w:val="00015AC8"/>
    <w:rsid w:val="00015B1F"/>
    <w:rsid w:val="00015E00"/>
    <w:rsid w:val="00016105"/>
    <w:rsid w:val="000177F7"/>
    <w:rsid w:val="000201B1"/>
    <w:rsid w:val="000209C4"/>
    <w:rsid w:val="00020A9D"/>
    <w:rsid w:val="00020D07"/>
    <w:rsid w:val="0002106F"/>
    <w:rsid w:val="00022C54"/>
    <w:rsid w:val="00023AE6"/>
    <w:rsid w:val="0002442B"/>
    <w:rsid w:val="00024498"/>
    <w:rsid w:val="000244A3"/>
    <w:rsid w:val="000245C6"/>
    <w:rsid w:val="00024908"/>
    <w:rsid w:val="0002640C"/>
    <w:rsid w:val="00026D37"/>
    <w:rsid w:val="00027559"/>
    <w:rsid w:val="0002771A"/>
    <w:rsid w:val="00027C87"/>
    <w:rsid w:val="00030D11"/>
    <w:rsid w:val="00031814"/>
    <w:rsid w:val="000319C7"/>
    <w:rsid w:val="000335ED"/>
    <w:rsid w:val="0003390F"/>
    <w:rsid w:val="000340F0"/>
    <w:rsid w:val="00034DE3"/>
    <w:rsid w:val="000352D3"/>
    <w:rsid w:val="0003623E"/>
    <w:rsid w:val="00037376"/>
    <w:rsid w:val="000376E9"/>
    <w:rsid w:val="00037930"/>
    <w:rsid w:val="00037940"/>
    <w:rsid w:val="000408DF"/>
    <w:rsid w:val="00042C8A"/>
    <w:rsid w:val="00042D0D"/>
    <w:rsid w:val="00044BFF"/>
    <w:rsid w:val="00044E4C"/>
    <w:rsid w:val="00044F55"/>
    <w:rsid w:val="0004561D"/>
    <w:rsid w:val="0004564D"/>
    <w:rsid w:val="0004582C"/>
    <w:rsid w:val="00046C38"/>
    <w:rsid w:val="000471D7"/>
    <w:rsid w:val="000476E1"/>
    <w:rsid w:val="00050799"/>
    <w:rsid w:val="0005098F"/>
    <w:rsid w:val="0005139B"/>
    <w:rsid w:val="00051E06"/>
    <w:rsid w:val="00051FB8"/>
    <w:rsid w:val="0005307C"/>
    <w:rsid w:val="00053B9B"/>
    <w:rsid w:val="00053BD5"/>
    <w:rsid w:val="00054E3C"/>
    <w:rsid w:val="00054FC8"/>
    <w:rsid w:val="00055094"/>
    <w:rsid w:val="00055422"/>
    <w:rsid w:val="00056133"/>
    <w:rsid w:val="000567FD"/>
    <w:rsid w:val="00057152"/>
    <w:rsid w:val="000574C1"/>
    <w:rsid w:val="00057831"/>
    <w:rsid w:val="00057F21"/>
    <w:rsid w:val="00060417"/>
    <w:rsid w:val="0006098B"/>
    <w:rsid w:val="00060AD4"/>
    <w:rsid w:val="00060F49"/>
    <w:rsid w:val="000622A3"/>
    <w:rsid w:val="00062894"/>
    <w:rsid w:val="000643A6"/>
    <w:rsid w:val="00064445"/>
    <w:rsid w:val="00065CF6"/>
    <w:rsid w:val="00065DB9"/>
    <w:rsid w:val="00067917"/>
    <w:rsid w:val="00070D59"/>
    <w:rsid w:val="00071AE4"/>
    <w:rsid w:val="00071F3F"/>
    <w:rsid w:val="0007204B"/>
    <w:rsid w:val="000720E8"/>
    <w:rsid w:val="000724E8"/>
    <w:rsid w:val="000728E3"/>
    <w:rsid w:val="000735F8"/>
    <w:rsid w:val="00074330"/>
    <w:rsid w:val="00074865"/>
    <w:rsid w:val="00076337"/>
    <w:rsid w:val="000770E7"/>
    <w:rsid w:val="00077C8F"/>
    <w:rsid w:val="00077CEB"/>
    <w:rsid w:val="00080FF4"/>
    <w:rsid w:val="0008186D"/>
    <w:rsid w:val="00082014"/>
    <w:rsid w:val="000825E2"/>
    <w:rsid w:val="00082640"/>
    <w:rsid w:val="000829EC"/>
    <w:rsid w:val="00083071"/>
    <w:rsid w:val="0008558F"/>
    <w:rsid w:val="000868E7"/>
    <w:rsid w:val="000877B6"/>
    <w:rsid w:val="00090357"/>
    <w:rsid w:val="00090384"/>
    <w:rsid w:val="0009100C"/>
    <w:rsid w:val="000915C6"/>
    <w:rsid w:val="00091B5A"/>
    <w:rsid w:val="000923FF"/>
    <w:rsid w:val="00092AC7"/>
    <w:rsid w:val="000935EE"/>
    <w:rsid w:val="00094800"/>
    <w:rsid w:val="00094D0C"/>
    <w:rsid w:val="00095B39"/>
    <w:rsid w:val="00095C64"/>
    <w:rsid w:val="00095D76"/>
    <w:rsid w:val="0009621C"/>
    <w:rsid w:val="00096F78"/>
    <w:rsid w:val="000972D0"/>
    <w:rsid w:val="000A0985"/>
    <w:rsid w:val="000A0F85"/>
    <w:rsid w:val="000A16DC"/>
    <w:rsid w:val="000A340C"/>
    <w:rsid w:val="000A441F"/>
    <w:rsid w:val="000A4A3A"/>
    <w:rsid w:val="000A7450"/>
    <w:rsid w:val="000B07F7"/>
    <w:rsid w:val="000B4148"/>
    <w:rsid w:val="000B4380"/>
    <w:rsid w:val="000B445C"/>
    <w:rsid w:val="000B608E"/>
    <w:rsid w:val="000B6E96"/>
    <w:rsid w:val="000B7312"/>
    <w:rsid w:val="000B79E3"/>
    <w:rsid w:val="000C0129"/>
    <w:rsid w:val="000C0C0A"/>
    <w:rsid w:val="000C21AE"/>
    <w:rsid w:val="000C3362"/>
    <w:rsid w:val="000C35B4"/>
    <w:rsid w:val="000C360D"/>
    <w:rsid w:val="000C38AE"/>
    <w:rsid w:val="000C44F0"/>
    <w:rsid w:val="000C45A3"/>
    <w:rsid w:val="000C49B5"/>
    <w:rsid w:val="000C511D"/>
    <w:rsid w:val="000C7F20"/>
    <w:rsid w:val="000D0AA0"/>
    <w:rsid w:val="000D169D"/>
    <w:rsid w:val="000D2807"/>
    <w:rsid w:val="000D450D"/>
    <w:rsid w:val="000D496F"/>
    <w:rsid w:val="000D4DC4"/>
    <w:rsid w:val="000D5D22"/>
    <w:rsid w:val="000D6327"/>
    <w:rsid w:val="000D6EBA"/>
    <w:rsid w:val="000D7086"/>
    <w:rsid w:val="000D7639"/>
    <w:rsid w:val="000D7FCF"/>
    <w:rsid w:val="000E1941"/>
    <w:rsid w:val="000E249D"/>
    <w:rsid w:val="000E38E7"/>
    <w:rsid w:val="000E3E41"/>
    <w:rsid w:val="000E409B"/>
    <w:rsid w:val="000E420E"/>
    <w:rsid w:val="000E5774"/>
    <w:rsid w:val="000E602E"/>
    <w:rsid w:val="000E655D"/>
    <w:rsid w:val="000E71A2"/>
    <w:rsid w:val="000E75F3"/>
    <w:rsid w:val="000F0370"/>
    <w:rsid w:val="000F0EC4"/>
    <w:rsid w:val="000F1241"/>
    <w:rsid w:val="000F1F3B"/>
    <w:rsid w:val="000F2E91"/>
    <w:rsid w:val="000F2F93"/>
    <w:rsid w:val="000F3459"/>
    <w:rsid w:val="000F486B"/>
    <w:rsid w:val="000F4F0E"/>
    <w:rsid w:val="000F5093"/>
    <w:rsid w:val="0010141D"/>
    <w:rsid w:val="00101FDB"/>
    <w:rsid w:val="00102205"/>
    <w:rsid w:val="00102517"/>
    <w:rsid w:val="0010253D"/>
    <w:rsid w:val="00103104"/>
    <w:rsid w:val="001036C7"/>
    <w:rsid w:val="001055F6"/>
    <w:rsid w:val="00106168"/>
    <w:rsid w:val="0010709C"/>
    <w:rsid w:val="00107A39"/>
    <w:rsid w:val="00110190"/>
    <w:rsid w:val="00110BA2"/>
    <w:rsid w:val="001115E7"/>
    <w:rsid w:val="001118BC"/>
    <w:rsid w:val="001146BE"/>
    <w:rsid w:val="001152CC"/>
    <w:rsid w:val="00115411"/>
    <w:rsid w:val="001163BA"/>
    <w:rsid w:val="001171C1"/>
    <w:rsid w:val="00120914"/>
    <w:rsid w:val="00121FF6"/>
    <w:rsid w:val="0012309C"/>
    <w:rsid w:val="00123104"/>
    <w:rsid w:val="001239A4"/>
    <w:rsid w:val="00124379"/>
    <w:rsid w:val="00125EF5"/>
    <w:rsid w:val="00127152"/>
    <w:rsid w:val="0012732F"/>
    <w:rsid w:val="0012764C"/>
    <w:rsid w:val="001276D2"/>
    <w:rsid w:val="00130098"/>
    <w:rsid w:val="00130220"/>
    <w:rsid w:val="00130B28"/>
    <w:rsid w:val="001315A8"/>
    <w:rsid w:val="00131622"/>
    <w:rsid w:val="00132654"/>
    <w:rsid w:val="00133E0B"/>
    <w:rsid w:val="00134672"/>
    <w:rsid w:val="00135BC5"/>
    <w:rsid w:val="00135FD3"/>
    <w:rsid w:val="001361E5"/>
    <w:rsid w:val="001362B5"/>
    <w:rsid w:val="0013685F"/>
    <w:rsid w:val="001368EC"/>
    <w:rsid w:val="001370F9"/>
    <w:rsid w:val="001374DC"/>
    <w:rsid w:val="00140F21"/>
    <w:rsid w:val="001410FB"/>
    <w:rsid w:val="00141E0B"/>
    <w:rsid w:val="00150063"/>
    <w:rsid w:val="001515C7"/>
    <w:rsid w:val="001525D0"/>
    <w:rsid w:val="00152D18"/>
    <w:rsid w:val="001548C5"/>
    <w:rsid w:val="0015501E"/>
    <w:rsid w:val="00156CC1"/>
    <w:rsid w:val="00157E06"/>
    <w:rsid w:val="00157E88"/>
    <w:rsid w:val="00160C8D"/>
    <w:rsid w:val="00161A0D"/>
    <w:rsid w:val="00162153"/>
    <w:rsid w:val="00162CBB"/>
    <w:rsid w:val="00163066"/>
    <w:rsid w:val="00163600"/>
    <w:rsid w:val="001661DE"/>
    <w:rsid w:val="00166309"/>
    <w:rsid w:val="001666E9"/>
    <w:rsid w:val="00166AA1"/>
    <w:rsid w:val="00166BC0"/>
    <w:rsid w:val="00167DE1"/>
    <w:rsid w:val="0017054E"/>
    <w:rsid w:val="00170617"/>
    <w:rsid w:val="00170BE1"/>
    <w:rsid w:val="0017149C"/>
    <w:rsid w:val="0017159E"/>
    <w:rsid w:val="00173F46"/>
    <w:rsid w:val="00174C3B"/>
    <w:rsid w:val="0017537D"/>
    <w:rsid w:val="001757ED"/>
    <w:rsid w:val="001759B2"/>
    <w:rsid w:val="00176930"/>
    <w:rsid w:val="00176E53"/>
    <w:rsid w:val="001770C3"/>
    <w:rsid w:val="001770D3"/>
    <w:rsid w:val="00177218"/>
    <w:rsid w:val="001774E2"/>
    <w:rsid w:val="00181C65"/>
    <w:rsid w:val="0018500F"/>
    <w:rsid w:val="001856C4"/>
    <w:rsid w:val="00185B5C"/>
    <w:rsid w:val="00185E1F"/>
    <w:rsid w:val="00186734"/>
    <w:rsid w:val="00186F12"/>
    <w:rsid w:val="00190052"/>
    <w:rsid w:val="00191EC3"/>
    <w:rsid w:val="001925D0"/>
    <w:rsid w:val="0019265E"/>
    <w:rsid w:val="00192F09"/>
    <w:rsid w:val="00192FE8"/>
    <w:rsid w:val="00193FCE"/>
    <w:rsid w:val="00194532"/>
    <w:rsid w:val="001948DB"/>
    <w:rsid w:val="0019490A"/>
    <w:rsid w:val="00194DBE"/>
    <w:rsid w:val="00194E80"/>
    <w:rsid w:val="00196332"/>
    <w:rsid w:val="001963D7"/>
    <w:rsid w:val="001965DB"/>
    <w:rsid w:val="00197818"/>
    <w:rsid w:val="00197A90"/>
    <w:rsid w:val="00197D69"/>
    <w:rsid w:val="001A299D"/>
    <w:rsid w:val="001A3207"/>
    <w:rsid w:val="001A37EF"/>
    <w:rsid w:val="001A3CB9"/>
    <w:rsid w:val="001A3D5A"/>
    <w:rsid w:val="001A4731"/>
    <w:rsid w:val="001A47FA"/>
    <w:rsid w:val="001A53DE"/>
    <w:rsid w:val="001A5859"/>
    <w:rsid w:val="001A6F23"/>
    <w:rsid w:val="001B16E8"/>
    <w:rsid w:val="001B32D1"/>
    <w:rsid w:val="001B37DD"/>
    <w:rsid w:val="001B3DF3"/>
    <w:rsid w:val="001B473C"/>
    <w:rsid w:val="001B5602"/>
    <w:rsid w:val="001B5B68"/>
    <w:rsid w:val="001B6420"/>
    <w:rsid w:val="001B6A09"/>
    <w:rsid w:val="001C06B3"/>
    <w:rsid w:val="001C125B"/>
    <w:rsid w:val="001C21DC"/>
    <w:rsid w:val="001C237B"/>
    <w:rsid w:val="001C23C1"/>
    <w:rsid w:val="001C245C"/>
    <w:rsid w:val="001C2F10"/>
    <w:rsid w:val="001C3B6E"/>
    <w:rsid w:val="001C4F99"/>
    <w:rsid w:val="001C52D8"/>
    <w:rsid w:val="001C662B"/>
    <w:rsid w:val="001C6F27"/>
    <w:rsid w:val="001C7C84"/>
    <w:rsid w:val="001D02FE"/>
    <w:rsid w:val="001D0528"/>
    <w:rsid w:val="001D0542"/>
    <w:rsid w:val="001D0CFD"/>
    <w:rsid w:val="001D10E0"/>
    <w:rsid w:val="001D11FE"/>
    <w:rsid w:val="001D164A"/>
    <w:rsid w:val="001D1E1C"/>
    <w:rsid w:val="001D2DE2"/>
    <w:rsid w:val="001D3B7F"/>
    <w:rsid w:val="001D42C9"/>
    <w:rsid w:val="001D4DDD"/>
    <w:rsid w:val="001D563F"/>
    <w:rsid w:val="001D57FC"/>
    <w:rsid w:val="001D6AB3"/>
    <w:rsid w:val="001D72F4"/>
    <w:rsid w:val="001D79E4"/>
    <w:rsid w:val="001E0337"/>
    <w:rsid w:val="001E03C3"/>
    <w:rsid w:val="001E14BE"/>
    <w:rsid w:val="001E17BF"/>
    <w:rsid w:val="001E3823"/>
    <w:rsid w:val="001E437A"/>
    <w:rsid w:val="001E4544"/>
    <w:rsid w:val="001E4930"/>
    <w:rsid w:val="001E4DA3"/>
    <w:rsid w:val="001E5CF9"/>
    <w:rsid w:val="001E73A2"/>
    <w:rsid w:val="001E77B7"/>
    <w:rsid w:val="001F038E"/>
    <w:rsid w:val="001F0DEC"/>
    <w:rsid w:val="001F28FB"/>
    <w:rsid w:val="001F2E99"/>
    <w:rsid w:val="001F3475"/>
    <w:rsid w:val="001F3823"/>
    <w:rsid w:val="001F3B30"/>
    <w:rsid w:val="001F3CD9"/>
    <w:rsid w:val="001F491F"/>
    <w:rsid w:val="001F4FB0"/>
    <w:rsid w:val="001F5889"/>
    <w:rsid w:val="001F5961"/>
    <w:rsid w:val="00200BEF"/>
    <w:rsid w:val="00200D18"/>
    <w:rsid w:val="002014C7"/>
    <w:rsid w:val="002020B5"/>
    <w:rsid w:val="0020236F"/>
    <w:rsid w:val="00202792"/>
    <w:rsid w:val="00202DD0"/>
    <w:rsid w:val="00202F11"/>
    <w:rsid w:val="00205E0B"/>
    <w:rsid w:val="00205F8B"/>
    <w:rsid w:val="00206BD8"/>
    <w:rsid w:val="00207411"/>
    <w:rsid w:val="00207A3F"/>
    <w:rsid w:val="00207ED0"/>
    <w:rsid w:val="00210B81"/>
    <w:rsid w:val="0021192F"/>
    <w:rsid w:val="00211CAF"/>
    <w:rsid w:val="00212A27"/>
    <w:rsid w:val="002132CF"/>
    <w:rsid w:val="00213E45"/>
    <w:rsid w:val="002140AE"/>
    <w:rsid w:val="002171C0"/>
    <w:rsid w:val="002172C0"/>
    <w:rsid w:val="00217D58"/>
    <w:rsid w:val="002205A3"/>
    <w:rsid w:val="00220781"/>
    <w:rsid w:val="00221195"/>
    <w:rsid w:val="00221F6A"/>
    <w:rsid w:val="002228CD"/>
    <w:rsid w:val="00222E2E"/>
    <w:rsid w:val="00222FC0"/>
    <w:rsid w:val="00223CB4"/>
    <w:rsid w:val="002303F9"/>
    <w:rsid w:val="00230B06"/>
    <w:rsid w:val="00230D24"/>
    <w:rsid w:val="00230F1A"/>
    <w:rsid w:val="0023156F"/>
    <w:rsid w:val="00231BB1"/>
    <w:rsid w:val="00232277"/>
    <w:rsid w:val="0023297A"/>
    <w:rsid w:val="002340E4"/>
    <w:rsid w:val="002342E3"/>
    <w:rsid w:val="00235BE3"/>
    <w:rsid w:val="00235C02"/>
    <w:rsid w:val="002362FF"/>
    <w:rsid w:val="00237221"/>
    <w:rsid w:val="00237AA0"/>
    <w:rsid w:val="002401B2"/>
    <w:rsid w:val="00240329"/>
    <w:rsid w:val="00240438"/>
    <w:rsid w:val="00241CCB"/>
    <w:rsid w:val="00242828"/>
    <w:rsid w:val="00242B32"/>
    <w:rsid w:val="00242C43"/>
    <w:rsid w:val="00244AF4"/>
    <w:rsid w:val="0024519C"/>
    <w:rsid w:val="002452C5"/>
    <w:rsid w:val="0024559E"/>
    <w:rsid w:val="002455B7"/>
    <w:rsid w:val="00246073"/>
    <w:rsid w:val="002460D4"/>
    <w:rsid w:val="00246ED4"/>
    <w:rsid w:val="00247140"/>
    <w:rsid w:val="00247D6F"/>
    <w:rsid w:val="00250BC4"/>
    <w:rsid w:val="00253600"/>
    <w:rsid w:val="00253E1F"/>
    <w:rsid w:val="00254D68"/>
    <w:rsid w:val="002556CF"/>
    <w:rsid w:val="00255F2F"/>
    <w:rsid w:val="00256C92"/>
    <w:rsid w:val="002575E3"/>
    <w:rsid w:val="002576B1"/>
    <w:rsid w:val="00261AF2"/>
    <w:rsid w:val="00262167"/>
    <w:rsid w:val="0026242E"/>
    <w:rsid w:val="00262F72"/>
    <w:rsid w:val="00263C08"/>
    <w:rsid w:val="00264571"/>
    <w:rsid w:val="002650BD"/>
    <w:rsid w:val="00265382"/>
    <w:rsid w:val="0026695F"/>
    <w:rsid w:val="0026726D"/>
    <w:rsid w:val="00267341"/>
    <w:rsid w:val="002677BD"/>
    <w:rsid w:val="00267E76"/>
    <w:rsid w:val="00270EB9"/>
    <w:rsid w:val="00271F02"/>
    <w:rsid w:val="00274622"/>
    <w:rsid w:val="00276431"/>
    <w:rsid w:val="00276F20"/>
    <w:rsid w:val="00277823"/>
    <w:rsid w:val="00277F45"/>
    <w:rsid w:val="00280348"/>
    <w:rsid w:val="00280D8D"/>
    <w:rsid w:val="002818E2"/>
    <w:rsid w:val="0028265A"/>
    <w:rsid w:val="0028337C"/>
    <w:rsid w:val="00283EEE"/>
    <w:rsid w:val="00283F78"/>
    <w:rsid w:val="0028480B"/>
    <w:rsid w:val="00285B89"/>
    <w:rsid w:val="002868D3"/>
    <w:rsid w:val="00286A3A"/>
    <w:rsid w:val="00286A62"/>
    <w:rsid w:val="00286C7C"/>
    <w:rsid w:val="00286F0F"/>
    <w:rsid w:val="002907A4"/>
    <w:rsid w:val="00291F3E"/>
    <w:rsid w:val="002927E4"/>
    <w:rsid w:val="00292915"/>
    <w:rsid w:val="002935D4"/>
    <w:rsid w:val="00293993"/>
    <w:rsid w:val="00294349"/>
    <w:rsid w:val="002948AF"/>
    <w:rsid w:val="00294CF7"/>
    <w:rsid w:val="00294EA6"/>
    <w:rsid w:val="0029502E"/>
    <w:rsid w:val="002953AC"/>
    <w:rsid w:val="00295928"/>
    <w:rsid w:val="0029593F"/>
    <w:rsid w:val="00296B95"/>
    <w:rsid w:val="00296C20"/>
    <w:rsid w:val="00296FEA"/>
    <w:rsid w:val="002971E4"/>
    <w:rsid w:val="002A0A1E"/>
    <w:rsid w:val="002A0E04"/>
    <w:rsid w:val="002A1360"/>
    <w:rsid w:val="002A1E13"/>
    <w:rsid w:val="002A1FE8"/>
    <w:rsid w:val="002A3B26"/>
    <w:rsid w:val="002A45A3"/>
    <w:rsid w:val="002A4922"/>
    <w:rsid w:val="002A6120"/>
    <w:rsid w:val="002B16DB"/>
    <w:rsid w:val="002B473A"/>
    <w:rsid w:val="002B4EF6"/>
    <w:rsid w:val="002B4F10"/>
    <w:rsid w:val="002B5804"/>
    <w:rsid w:val="002B60F8"/>
    <w:rsid w:val="002B7B08"/>
    <w:rsid w:val="002B7DB2"/>
    <w:rsid w:val="002C1F34"/>
    <w:rsid w:val="002C25A9"/>
    <w:rsid w:val="002C2B88"/>
    <w:rsid w:val="002C473D"/>
    <w:rsid w:val="002C4807"/>
    <w:rsid w:val="002C4D97"/>
    <w:rsid w:val="002C5578"/>
    <w:rsid w:val="002C6038"/>
    <w:rsid w:val="002C6712"/>
    <w:rsid w:val="002C7FE3"/>
    <w:rsid w:val="002D056D"/>
    <w:rsid w:val="002D17EE"/>
    <w:rsid w:val="002D31C7"/>
    <w:rsid w:val="002D3B19"/>
    <w:rsid w:val="002D56FC"/>
    <w:rsid w:val="002D6BA3"/>
    <w:rsid w:val="002E0128"/>
    <w:rsid w:val="002E06E5"/>
    <w:rsid w:val="002E0A44"/>
    <w:rsid w:val="002E1FBB"/>
    <w:rsid w:val="002E25BB"/>
    <w:rsid w:val="002E2B09"/>
    <w:rsid w:val="002E3670"/>
    <w:rsid w:val="002E3A25"/>
    <w:rsid w:val="002E47C2"/>
    <w:rsid w:val="002E5D50"/>
    <w:rsid w:val="002E64A7"/>
    <w:rsid w:val="002E69E7"/>
    <w:rsid w:val="002E7E8D"/>
    <w:rsid w:val="002E7FD5"/>
    <w:rsid w:val="002F0DC2"/>
    <w:rsid w:val="002F0F03"/>
    <w:rsid w:val="002F2A4E"/>
    <w:rsid w:val="002F363E"/>
    <w:rsid w:val="002F4694"/>
    <w:rsid w:val="002F4E4B"/>
    <w:rsid w:val="002F4FCC"/>
    <w:rsid w:val="002F61F9"/>
    <w:rsid w:val="002F75BB"/>
    <w:rsid w:val="00300EDF"/>
    <w:rsid w:val="00301693"/>
    <w:rsid w:val="00301C74"/>
    <w:rsid w:val="00302E6D"/>
    <w:rsid w:val="00305047"/>
    <w:rsid w:val="003051A0"/>
    <w:rsid w:val="003060AA"/>
    <w:rsid w:val="003064C8"/>
    <w:rsid w:val="00306E4E"/>
    <w:rsid w:val="0030708E"/>
    <w:rsid w:val="00307A25"/>
    <w:rsid w:val="00307AB5"/>
    <w:rsid w:val="00310480"/>
    <w:rsid w:val="0031368F"/>
    <w:rsid w:val="003143BD"/>
    <w:rsid w:val="00314E81"/>
    <w:rsid w:val="003153D7"/>
    <w:rsid w:val="00315E2A"/>
    <w:rsid w:val="00316DC6"/>
    <w:rsid w:val="00317399"/>
    <w:rsid w:val="0031749B"/>
    <w:rsid w:val="00317D80"/>
    <w:rsid w:val="0032169A"/>
    <w:rsid w:val="0032224E"/>
    <w:rsid w:val="00323064"/>
    <w:rsid w:val="00323BED"/>
    <w:rsid w:val="0032423F"/>
    <w:rsid w:val="00324566"/>
    <w:rsid w:val="00326D96"/>
    <w:rsid w:val="00327C70"/>
    <w:rsid w:val="00330118"/>
    <w:rsid w:val="0033136C"/>
    <w:rsid w:val="00331CD3"/>
    <w:rsid w:val="0033265E"/>
    <w:rsid w:val="00335543"/>
    <w:rsid w:val="00335ECF"/>
    <w:rsid w:val="003360DC"/>
    <w:rsid w:val="00336198"/>
    <w:rsid w:val="00336AB4"/>
    <w:rsid w:val="00336F2B"/>
    <w:rsid w:val="00337ADA"/>
    <w:rsid w:val="00337B20"/>
    <w:rsid w:val="003401D5"/>
    <w:rsid w:val="0034031C"/>
    <w:rsid w:val="00340F89"/>
    <w:rsid w:val="00341DA9"/>
    <w:rsid w:val="00341EF2"/>
    <w:rsid w:val="00342AF3"/>
    <w:rsid w:val="00342E5B"/>
    <w:rsid w:val="00342F27"/>
    <w:rsid w:val="00343487"/>
    <w:rsid w:val="00346FBF"/>
    <w:rsid w:val="00347071"/>
    <w:rsid w:val="00347314"/>
    <w:rsid w:val="00347415"/>
    <w:rsid w:val="0034775A"/>
    <w:rsid w:val="003513C1"/>
    <w:rsid w:val="003515A4"/>
    <w:rsid w:val="0035343C"/>
    <w:rsid w:val="0035459F"/>
    <w:rsid w:val="00355F1D"/>
    <w:rsid w:val="00357576"/>
    <w:rsid w:val="00357BA8"/>
    <w:rsid w:val="00361055"/>
    <w:rsid w:val="0036106B"/>
    <w:rsid w:val="00361598"/>
    <w:rsid w:val="0036160E"/>
    <w:rsid w:val="00361DEF"/>
    <w:rsid w:val="00362E8D"/>
    <w:rsid w:val="00363180"/>
    <w:rsid w:val="003641DF"/>
    <w:rsid w:val="00364A08"/>
    <w:rsid w:val="00364AEB"/>
    <w:rsid w:val="00365529"/>
    <w:rsid w:val="003660F0"/>
    <w:rsid w:val="003664E2"/>
    <w:rsid w:val="00367702"/>
    <w:rsid w:val="003704FF"/>
    <w:rsid w:val="0037075B"/>
    <w:rsid w:val="00370D1F"/>
    <w:rsid w:val="0037445D"/>
    <w:rsid w:val="0037445F"/>
    <w:rsid w:val="00375FE1"/>
    <w:rsid w:val="00376C6D"/>
    <w:rsid w:val="00377009"/>
    <w:rsid w:val="0037751F"/>
    <w:rsid w:val="0037786C"/>
    <w:rsid w:val="0037790C"/>
    <w:rsid w:val="0038038E"/>
    <w:rsid w:val="00380535"/>
    <w:rsid w:val="003815B3"/>
    <w:rsid w:val="00381717"/>
    <w:rsid w:val="003821D4"/>
    <w:rsid w:val="00382D3A"/>
    <w:rsid w:val="0038314C"/>
    <w:rsid w:val="003834D7"/>
    <w:rsid w:val="00384A02"/>
    <w:rsid w:val="0038527C"/>
    <w:rsid w:val="003869F4"/>
    <w:rsid w:val="00387635"/>
    <w:rsid w:val="003901EB"/>
    <w:rsid w:val="0039182D"/>
    <w:rsid w:val="00392A12"/>
    <w:rsid w:val="00394290"/>
    <w:rsid w:val="00394828"/>
    <w:rsid w:val="00394C1E"/>
    <w:rsid w:val="00394C5C"/>
    <w:rsid w:val="00397A9F"/>
    <w:rsid w:val="003A009F"/>
    <w:rsid w:val="003A06F7"/>
    <w:rsid w:val="003A0B41"/>
    <w:rsid w:val="003A160C"/>
    <w:rsid w:val="003A1886"/>
    <w:rsid w:val="003A2A59"/>
    <w:rsid w:val="003A4704"/>
    <w:rsid w:val="003A4AF2"/>
    <w:rsid w:val="003A5C39"/>
    <w:rsid w:val="003A628F"/>
    <w:rsid w:val="003A6BC5"/>
    <w:rsid w:val="003A79A8"/>
    <w:rsid w:val="003B007F"/>
    <w:rsid w:val="003B015A"/>
    <w:rsid w:val="003B0212"/>
    <w:rsid w:val="003B0378"/>
    <w:rsid w:val="003B1817"/>
    <w:rsid w:val="003B26EA"/>
    <w:rsid w:val="003B2913"/>
    <w:rsid w:val="003B3E3E"/>
    <w:rsid w:val="003B4011"/>
    <w:rsid w:val="003B653F"/>
    <w:rsid w:val="003B7099"/>
    <w:rsid w:val="003C05F0"/>
    <w:rsid w:val="003C0911"/>
    <w:rsid w:val="003C0D74"/>
    <w:rsid w:val="003C2573"/>
    <w:rsid w:val="003C28BD"/>
    <w:rsid w:val="003C2ECE"/>
    <w:rsid w:val="003C38D6"/>
    <w:rsid w:val="003C4B54"/>
    <w:rsid w:val="003C5A24"/>
    <w:rsid w:val="003C7B2D"/>
    <w:rsid w:val="003D1123"/>
    <w:rsid w:val="003D1D5E"/>
    <w:rsid w:val="003D26E6"/>
    <w:rsid w:val="003D26E8"/>
    <w:rsid w:val="003D2DC8"/>
    <w:rsid w:val="003D3795"/>
    <w:rsid w:val="003D5065"/>
    <w:rsid w:val="003D549F"/>
    <w:rsid w:val="003D5922"/>
    <w:rsid w:val="003D63D2"/>
    <w:rsid w:val="003D6805"/>
    <w:rsid w:val="003E077B"/>
    <w:rsid w:val="003E17BB"/>
    <w:rsid w:val="003E1BD9"/>
    <w:rsid w:val="003E2E73"/>
    <w:rsid w:val="003E3737"/>
    <w:rsid w:val="003E4824"/>
    <w:rsid w:val="003E5002"/>
    <w:rsid w:val="003E5137"/>
    <w:rsid w:val="003E63F3"/>
    <w:rsid w:val="003E6A2F"/>
    <w:rsid w:val="003E73FF"/>
    <w:rsid w:val="003F04FB"/>
    <w:rsid w:val="003F0542"/>
    <w:rsid w:val="003F103C"/>
    <w:rsid w:val="003F12E5"/>
    <w:rsid w:val="003F19FC"/>
    <w:rsid w:val="003F2019"/>
    <w:rsid w:val="003F2D02"/>
    <w:rsid w:val="003F544A"/>
    <w:rsid w:val="003F55D6"/>
    <w:rsid w:val="003F78DA"/>
    <w:rsid w:val="003F7956"/>
    <w:rsid w:val="003F7A41"/>
    <w:rsid w:val="00400676"/>
    <w:rsid w:val="00400B41"/>
    <w:rsid w:val="00400BEF"/>
    <w:rsid w:val="004011A3"/>
    <w:rsid w:val="00401B60"/>
    <w:rsid w:val="0040203D"/>
    <w:rsid w:val="00402096"/>
    <w:rsid w:val="0040254B"/>
    <w:rsid w:val="00402716"/>
    <w:rsid w:val="00402CF1"/>
    <w:rsid w:val="004038DE"/>
    <w:rsid w:val="00403E82"/>
    <w:rsid w:val="004047A1"/>
    <w:rsid w:val="00404A64"/>
    <w:rsid w:val="00404FDA"/>
    <w:rsid w:val="0040578C"/>
    <w:rsid w:val="004061EC"/>
    <w:rsid w:val="004070D4"/>
    <w:rsid w:val="004072DF"/>
    <w:rsid w:val="00410641"/>
    <w:rsid w:val="004113F2"/>
    <w:rsid w:val="004117D4"/>
    <w:rsid w:val="0041302A"/>
    <w:rsid w:val="00413BB3"/>
    <w:rsid w:val="0041421F"/>
    <w:rsid w:val="00414E1D"/>
    <w:rsid w:val="004153DD"/>
    <w:rsid w:val="00415B53"/>
    <w:rsid w:val="00416DC5"/>
    <w:rsid w:val="00416FE8"/>
    <w:rsid w:val="004173C5"/>
    <w:rsid w:val="004211AE"/>
    <w:rsid w:val="004215FB"/>
    <w:rsid w:val="00422017"/>
    <w:rsid w:val="00422DC8"/>
    <w:rsid w:val="004235AA"/>
    <w:rsid w:val="00423E1B"/>
    <w:rsid w:val="0042432C"/>
    <w:rsid w:val="004243A2"/>
    <w:rsid w:val="004245A8"/>
    <w:rsid w:val="00424935"/>
    <w:rsid w:val="00427323"/>
    <w:rsid w:val="00427367"/>
    <w:rsid w:val="004305B9"/>
    <w:rsid w:val="004307AB"/>
    <w:rsid w:val="004316AE"/>
    <w:rsid w:val="00431A9A"/>
    <w:rsid w:val="0043265A"/>
    <w:rsid w:val="004331EF"/>
    <w:rsid w:val="004336EC"/>
    <w:rsid w:val="00433ADF"/>
    <w:rsid w:val="00433C2C"/>
    <w:rsid w:val="00434B3E"/>
    <w:rsid w:val="004352C1"/>
    <w:rsid w:val="0043689A"/>
    <w:rsid w:val="0043728E"/>
    <w:rsid w:val="00437BEE"/>
    <w:rsid w:val="00440549"/>
    <w:rsid w:val="00441DC7"/>
    <w:rsid w:val="004424D5"/>
    <w:rsid w:val="00443DE2"/>
    <w:rsid w:val="00443E8F"/>
    <w:rsid w:val="00444A31"/>
    <w:rsid w:val="004452E3"/>
    <w:rsid w:val="00445B1D"/>
    <w:rsid w:val="0044684A"/>
    <w:rsid w:val="004476D7"/>
    <w:rsid w:val="00450D8A"/>
    <w:rsid w:val="0045240E"/>
    <w:rsid w:val="00454DBB"/>
    <w:rsid w:val="00455707"/>
    <w:rsid w:val="00455DA1"/>
    <w:rsid w:val="00456A25"/>
    <w:rsid w:val="00456B8E"/>
    <w:rsid w:val="004570F6"/>
    <w:rsid w:val="0045781E"/>
    <w:rsid w:val="004579A5"/>
    <w:rsid w:val="00457EA8"/>
    <w:rsid w:val="004600D8"/>
    <w:rsid w:val="00460816"/>
    <w:rsid w:val="00461A9F"/>
    <w:rsid w:val="00462771"/>
    <w:rsid w:val="00462945"/>
    <w:rsid w:val="00462E50"/>
    <w:rsid w:val="00464152"/>
    <w:rsid w:val="00464DE4"/>
    <w:rsid w:val="004655DE"/>
    <w:rsid w:val="00465CD2"/>
    <w:rsid w:val="00466B65"/>
    <w:rsid w:val="00466DA7"/>
    <w:rsid w:val="00467529"/>
    <w:rsid w:val="00467F34"/>
    <w:rsid w:val="0047164F"/>
    <w:rsid w:val="00471A6D"/>
    <w:rsid w:val="00471FB5"/>
    <w:rsid w:val="00472BA2"/>
    <w:rsid w:val="0047338E"/>
    <w:rsid w:val="00473CD9"/>
    <w:rsid w:val="00474441"/>
    <w:rsid w:val="00474599"/>
    <w:rsid w:val="00475F83"/>
    <w:rsid w:val="00476A92"/>
    <w:rsid w:val="00477876"/>
    <w:rsid w:val="00480A06"/>
    <w:rsid w:val="00480C20"/>
    <w:rsid w:val="00481CF8"/>
    <w:rsid w:val="00481D68"/>
    <w:rsid w:val="00483107"/>
    <w:rsid w:val="00484830"/>
    <w:rsid w:val="004848CB"/>
    <w:rsid w:val="00484A56"/>
    <w:rsid w:val="0048569D"/>
    <w:rsid w:val="00485F26"/>
    <w:rsid w:val="00486238"/>
    <w:rsid w:val="0048640A"/>
    <w:rsid w:val="0048681A"/>
    <w:rsid w:val="00486E5E"/>
    <w:rsid w:val="00487998"/>
    <w:rsid w:val="004921A3"/>
    <w:rsid w:val="00492860"/>
    <w:rsid w:val="00492E96"/>
    <w:rsid w:val="00493050"/>
    <w:rsid w:val="0049414F"/>
    <w:rsid w:val="004946CE"/>
    <w:rsid w:val="00494D70"/>
    <w:rsid w:val="004965F7"/>
    <w:rsid w:val="00496953"/>
    <w:rsid w:val="00496FC4"/>
    <w:rsid w:val="00497240"/>
    <w:rsid w:val="004A002A"/>
    <w:rsid w:val="004A009D"/>
    <w:rsid w:val="004A0DED"/>
    <w:rsid w:val="004A110A"/>
    <w:rsid w:val="004A11C5"/>
    <w:rsid w:val="004A21A5"/>
    <w:rsid w:val="004A2355"/>
    <w:rsid w:val="004A5C7E"/>
    <w:rsid w:val="004A6244"/>
    <w:rsid w:val="004A6B08"/>
    <w:rsid w:val="004A6EF0"/>
    <w:rsid w:val="004A741A"/>
    <w:rsid w:val="004A7570"/>
    <w:rsid w:val="004B1C58"/>
    <w:rsid w:val="004B20C7"/>
    <w:rsid w:val="004B2B17"/>
    <w:rsid w:val="004B49B6"/>
    <w:rsid w:val="004B4C99"/>
    <w:rsid w:val="004B61DB"/>
    <w:rsid w:val="004B6DB6"/>
    <w:rsid w:val="004B7167"/>
    <w:rsid w:val="004B75D9"/>
    <w:rsid w:val="004B7B64"/>
    <w:rsid w:val="004B7D90"/>
    <w:rsid w:val="004C1705"/>
    <w:rsid w:val="004C2F96"/>
    <w:rsid w:val="004C4C6F"/>
    <w:rsid w:val="004C593D"/>
    <w:rsid w:val="004C7F4B"/>
    <w:rsid w:val="004D1EE0"/>
    <w:rsid w:val="004D2278"/>
    <w:rsid w:val="004D2281"/>
    <w:rsid w:val="004D2CDD"/>
    <w:rsid w:val="004D44DB"/>
    <w:rsid w:val="004D4A9C"/>
    <w:rsid w:val="004D5B8A"/>
    <w:rsid w:val="004E00B8"/>
    <w:rsid w:val="004E1074"/>
    <w:rsid w:val="004E279C"/>
    <w:rsid w:val="004E2C5A"/>
    <w:rsid w:val="004E3236"/>
    <w:rsid w:val="004E33B3"/>
    <w:rsid w:val="004E3A37"/>
    <w:rsid w:val="004E4D93"/>
    <w:rsid w:val="004E5473"/>
    <w:rsid w:val="004E5E19"/>
    <w:rsid w:val="004E6134"/>
    <w:rsid w:val="004E6ECD"/>
    <w:rsid w:val="004E70FC"/>
    <w:rsid w:val="004E7E63"/>
    <w:rsid w:val="004F08E3"/>
    <w:rsid w:val="004F0A95"/>
    <w:rsid w:val="004F0C10"/>
    <w:rsid w:val="004F0F76"/>
    <w:rsid w:val="004F12A0"/>
    <w:rsid w:val="004F2AFD"/>
    <w:rsid w:val="004F2F7E"/>
    <w:rsid w:val="004F325E"/>
    <w:rsid w:val="004F4BBC"/>
    <w:rsid w:val="004F534B"/>
    <w:rsid w:val="004F60A5"/>
    <w:rsid w:val="004F71F9"/>
    <w:rsid w:val="00500585"/>
    <w:rsid w:val="00500D78"/>
    <w:rsid w:val="0050202C"/>
    <w:rsid w:val="00502E8C"/>
    <w:rsid w:val="00503C2A"/>
    <w:rsid w:val="00504142"/>
    <w:rsid w:val="00504389"/>
    <w:rsid w:val="005043BA"/>
    <w:rsid w:val="00504832"/>
    <w:rsid w:val="00504E8E"/>
    <w:rsid w:val="0050671C"/>
    <w:rsid w:val="00506EDD"/>
    <w:rsid w:val="00507BF9"/>
    <w:rsid w:val="00510001"/>
    <w:rsid w:val="00510FE8"/>
    <w:rsid w:val="00511641"/>
    <w:rsid w:val="00512019"/>
    <w:rsid w:val="0051212F"/>
    <w:rsid w:val="00512215"/>
    <w:rsid w:val="005129DB"/>
    <w:rsid w:val="00512B7E"/>
    <w:rsid w:val="005130ED"/>
    <w:rsid w:val="00513256"/>
    <w:rsid w:val="005140ED"/>
    <w:rsid w:val="00514386"/>
    <w:rsid w:val="00514B53"/>
    <w:rsid w:val="00514E8F"/>
    <w:rsid w:val="005152A0"/>
    <w:rsid w:val="005159A0"/>
    <w:rsid w:val="00515F4C"/>
    <w:rsid w:val="00516577"/>
    <w:rsid w:val="00516CBF"/>
    <w:rsid w:val="005206C9"/>
    <w:rsid w:val="00521D81"/>
    <w:rsid w:val="00522014"/>
    <w:rsid w:val="00522141"/>
    <w:rsid w:val="00522B06"/>
    <w:rsid w:val="005231FA"/>
    <w:rsid w:val="00524B44"/>
    <w:rsid w:val="00524E10"/>
    <w:rsid w:val="005279B3"/>
    <w:rsid w:val="005307A8"/>
    <w:rsid w:val="00532943"/>
    <w:rsid w:val="00532F2D"/>
    <w:rsid w:val="005349AA"/>
    <w:rsid w:val="005361B9"/>
    <w:rsid w:val="00536718"/>
    <w:rsid w:val="00536788"/>
    <w:rsid w:val="00536C3B"/>
    <w:rsid w:val="00536D5F"/>
    <w:rsid w:val="00537D43"/>
    <w:rsid w:val="00540084"/>
    <w:rsid w:val="00540239"/>
    <w:rsid w:val="00541EB8"/>
    <w:rsid w:val="005422EC"/>
    <w:rsid w:val="00542448"/>
    <w:rsid w:val="0054259A"/>
    <w:rsid w:val="00542C9F"/>
    <w:rsid w:val="00543BE3"/>
    <w:rsid w:val="0054422D"/>
    <w:rsid w:val="0054479B"/>
    <w:rsid w:val="00544BDE"/>
    <w:rsid w:val="0054515B"/>
    <w:rsid w:val="0054552F"/>
    <w:rsid w:val="005457FA"/>
    <w:rsid w:val="005458C6"/>
    <w:rsid w:val="00546CB3"/>
    <w:rsid w:val="005471B2"/>
    <w:rsid w:val="005476B8"/>
    <w:rsid w:val="00547F0F"/>
    <w:rsid w:val="00547F29"/>
    <w:rsid w:val="0055001B"/>
    <w:rsid w:val="00551260"/>
    <w:rsid w:val="00551539"/>
    <w:rsid w:val="00552356"/>
    <w:rsid w:val="005529E5"/>
    <w:rsid w:val="00552A27"/>
    <w:rsid w:val="00552B8F"/>
    <w:rsid w:val="00552BEE"/>
    <w:rsid w:val="00552D2F"/>
    <w:rsid w:val="005540BC"/>
    <w:rsid w:val="0055497E"/>
    <w:rsid w:val="00554A97"/>
    <w:rsid w:val="005556BB"/>
    <w:rsid w:val="00556D04"/>
    <w:rsid w:val="00556EDB"/>
    <w:rsid w:val="00557CFC"/>
    <w:rsid w:val="00560735"/>
    <w:rsid w:val="00560E3B"/>
    <w:rsid w:val="00561317"/>
    <w:rsid w:val="00562100"/>
    <w:rsid w:val="00563807"/>
    <w:rsid w:val="00565D88"/>
    <w:rsid w:val="00566949"/>
    <w:rsid w:val="005672FA"/>
    <w:rsid w:val="0057240D"/>
    <w:rsid w:val="005738E3"/>
    <w:rsid w:val="0057413F"/>
    <w:rsid w:val="00574210"/>
    <w:rsid w:val="00574813"/>
    <w:rsid w:val="005751F0"/>
    <w:rsid w:val="00575608"/>
    <w:rsid w:val="005759DA"/>
    <w:rsid w:val="00576F7A"/>
    <w:rsid w:val="00580B5B"/>
    <w:rsid w:val="00580BE5"/>
    <w:rsid w:val="005810C7"/>
    <w:rsid w:val="00581772"/>
    <w:rsid w:val="00581D95"/>
    <w:rsid w:val="00581E4D"/>
    <w:rsid w:val="00583DB5"/>
    <w:rsid w:val="00584148"/>
    <w:rsid w:val="0058632C"/>
    <w:rsid w:val="00587A76"/>
    <w:rsid w:val="00587A9D"/>
    <w:rsid w:val="00587C4F"/>
    <w:rsid w:val="005918EE"/>
    <w:rsid w:val="005926E1"/>
    <w:rsid w:val="005928B9"/>
    <w:rsid w:val="00593BC3"/>
    <w:rsid w:val="005949A1"/>
    <w:rsid w:val="00597731"/>
    <w:rsid w:val="00597F4C"/>
    <w:rsid w:val="005A00B6"/>
    <w:rsid w:val="005A04FF"/>
    <w:rsid w:val="005A145C"/>
    <w:rsid w:val="005A18AF"/>
    <w:rsid w:val="005A1E4A"/>
    <w:rsid w:val="005A3417"/>
    <w:rsid w:val="005A45D2"/>
    <w:rsid w:val="005A699E"/>
    <w:rsid w:val="005A6FF3"/>
    <w:rsid w:val="005A766D"/>
    <w:rsid w:val="005A7856"/>
    <w:rsid w:val="005B0BE2"/>
    <w:rsid w:val="005B154C"/>
    <w:rsid w:val="005B1C7D"/>
    <w:rsid w:val="005B2D44"/>
    <w:rsid w:val="005B3880"/>
    <w:rsid w:val="005B3FE2"/>
    <w:rsid w:val="005B45D2"/>
    <w:rsid w:val="005B52FD"/>
    <w:rsid w:val="005B5F2B"/>
    <w:rsid w:val="005B693B"/>
    <w:rsid w:val="005B6962"/>
    <w:rsid w:val="005B7041"/>
    <w:rsid w:val="005B71EA"/>
    <w:rsid w:val="005B73D5"/>
    <w:rsid w:val="005B7865"/>
    <w:rsid w:val="005B7E87"/>
    <w:rsid w:val="005C0FAF"/>
    <w:rsid w:val="005C16AC"/>
    <w:rsid w:val="005C16FF"/>
    <w:rsid w:val="005C4535"/>
    <w:rsid w:val="005C4CFA"/>
    <w:rsid w:val="005C52DA"/>
    <w:rsid w:val="005C62B5"/>
    <w:rsid w:val="005C6491"/>
    <w:rsid w:val="005C6797"/>
    <w:rsid w:val="005C6FBC"/>
    <w:rsid w:val="005C7721"/>
    <w:rsid w:val="005D15EE"/>
    <w:rsid w:val="005D1775"/>
    <w:rsid w:val="005D1A34"/>
    <w:rsid w:val="005D2079"/>
    <w:rsid w:val="005D2661"/>
    <w:rsid w:val="005D2A00"/>
    <w:rsid w:val="005D3295"/>
    <w:rsid w:val="005D4B54"/>
    <w:rsid w:val="005D5540"/>
    <w:rsid w:val="005D5680"/>
    <w:rsid w:val="005D5918"/>
    <w:rsid w:val="005D69A0"/>
    <w:rsid w:val="005E04F4"/>
    <w:rsid w:val="005E0655"/>
    <w:rsid w:val="005E11B5"/>
    <w:rsid w:val="005E171C"/>
    <w:rsid w:val="005E1ADF"/>
    <w:rsid w:val="005E2A5D"/>
    <w:rsid w:val="005E3193"/>
    <w:rsid w:val="005E3FE3"/>
    <w:rsid w:val="005E45DF"/>
    <w:rsid w:val="005E65F7"/>
    <w:rsid w:val="005E68E6"/>
    <w:rsid w:val="005E736E"/>
    <w:rsid w:val="005F06A2"/>
    <w:rsid w:val="005F09F9"/>
    <w:rsid w:val="005F1CAA"/>
    <w:rsid w:val="005F1CC4"/>
    <w:rsid w:val="005F3C41"/>
    <w:rsid w:val="005F43ED"/>
    <w:rsid w:val="005F595A"/>
    <w:rsid w:val="005F5B96"/>
    <w:rsid w:val="005F5BC5"/>
    <w:rsid w:val="005F6A24"/>
    <w:rsid w:val="005F6B05"/>
    <w:rsid w:val="005F6EFF"/>
    <w:rsid w:val="005F6F05"/>
    <w:rsid w:val="006003EF"/>
    <w:rsid w:val="00600476"/>
    <w:rsid w:val="00600887"/>
    <w:rsid w:val="006011DB"/>
    <w:rsid w:val="00601589"/>
    <w:rsid w:val="006017CE"/>
    <w:rsid w:val="00601A49"/>
    <w:rsid w:val="00601D75"/>
    <w:rsid w:val="006027BD"/>
    <w:rsid w:val="00602947"/>
    <w:rsid w:val="00602E4E"/>
    <w:rsid w:val="00603A7A"/>
    <w:rsid w:val="00604777"/>
    <w:rsid w:val="00604ED9"/>
    <w:rsid w:val="0060534A"/>
    <w:rsid w:val="00605B53"/>
    <w:rsid w:val="00605DF4"/>
    <w:rsid w:val="0060691C"/>
    <w:rsid w:val="006073A3"/>
    <w:rsid w:val="006105B5"/>
    <w:rsid w:val="00612B4A"/>
    <w:rsid w:val="00612E2A"/>
    <w:rsid w:val="00612FCE"/>
    <w:rsid w:val="00613CEB"/>
    <w:rsid w:val="006150A1"/>
    <w:rsid w:val="006151FB"/>
    <w:rsid w:val="00615460"/>
    <w:rsid w:val="00615666"/>
    <w:rsid w:val="00615A91"/>
    <w:rsid w:val="00615DBC"/>
    <w:rsid w:val="0061624A"/>
    <w:rsid w:val="006162E2"/>
    <w:rsid w:val="00616825"/>
    <w:rsid w:val="00616B29"/>
    <w:rsid w:val="006175F1"/>
    <w:rsid w:val="00617DDF"/>
    <w:rsid w:val="00617E48"/>
    <w:rsid w:val="00620167"/>
    <w:rsid w:val="00620857"/>
    <w:rsid w:val="00620ED6"/>
    <w:rsid w:val="00622401"/>
    <w:rsid w:val="006234CE"/>
    <w:rsid w:val="00624097"/>
    <w:rsid w:val="006244BB"/>
    <w:rsid w:val="006248B0"/>
    <w:rsid w:val="006249D8"/>
    <w:rsid w:val="00625428"/>
    <w:rsid w:val="006264A2"/>
    <w:rsid w:val="006264FE"/>
    <w:rsid w:val="00626C3F"/>
    <w:rsid w:val="006300CA"/>
    <w:rsid w:val="006309CC"/>
    <w:rsid w:val="00630C79"/>
    <w:rsid w:val="00630E2F"/>
    <w:rsid w:val="00631A81"/>
    <w:rsid w:val="00631B53"/>
    <w:rsid w:val="00633D62"/>
    <w:rsid w:val="00633E7C"/>
    <w:rsid w:val="00634A7D"/>
    <w:rsid w:val="00634EAD"/>
    <w:rsid w:val="00640026"/>
    <w:rsid w:val="0064021B"/>
    <w:rsid w:val="006404F6"/>
    <w:rsid w:val="00641E5D"/>
    <w:rsid w:val="00642D1E"/>
    <w:rsid w:val="00643CAA"/>
    <w:rsid w:val="006445D1"/>
    <w:rsid w:val="00646113"/>
    <w:rsid w:val="006474BC"/>
    <w:rsid w:val="00647678"/>
    <w:rsid w:val="00650C05"/>
    <w:rsid w:val="0065210C"/>
    <w:rsid w:val="0065373B"/>
    <w:rsid w:val="0065661D"/>
    <w:rsid w:val="00657D52"/>
    <w:rsid w:val="00660499"/>
    <w:rsid w:val="00662FEC"/>
    <w:rsid w:val="00663567"/>
    <w:rsid w:val="0066462B"/>
    <w:rsid w:val="00664D80"/>
    <w:rsid w:val="0066519E"/>
    <w:rsid w:val="006655ED"/>
    <w:rsid w:val="00667D11"/>
    <w:rsid w:val="0067013E"/>
    <w:rsid w:val="00671009"/>
    <w:rsid w:val="00671BB7"/>
    <w:rsid w:val="006727E0"/>
    <w:rsid w:val="0067319D"/>
    <w:rsid w:val="00673C60"/>
    <w:rsid w:val="00674B33"/>
    <w:rsid w:val="00677F96"/>
    <w:rsid w:val="00680223"/>
    <w:rsid w:val="00682B50"/>
    <w:rsid w:val="00684E61"/>
    <w:rsid w:val="00685329"/>
    <w:rsid w:val="0068593F"/>
    <w:rsid w:val="00686529"/>
    <w:rsid w:val="0068678A"/>
    <w:rsid w:val="0068687A"/>
    <w:rsid w:val="006871C4"/>
    <w:rsid w:val="006871E5"/>
    <w:rsid w:val="00690BB2"/>
    <w:rsid w:val="00690E20"/>
    <w:rsid w:val="00690FAD"/>
    <w:rsid w:val="006935E2"/>
    <w:rsid w:val="00693731"/>
    <w:rsid w:val="00694A1E"/>
    <w:rsid w:val="00694E59"/>
    <w:rsid w:val="006950AE"/>
    <w:rsid w:val="0069577D"/>
    <w:rsid w:val="00696C67"/>
    <w:rsid w:val="00697756"/>
    <w:rsid w:val="006A0ACA"/>
    <w:rsid w:val="006A1325"/>
    <w:rsid w:val="006A1D98"/>
    <w:rsid w:val="006A2131"/>
    <w:rsid w:val="006A2F85"/>
    <w:rsid w:val="006A3D8A"/>
    <w:rsid w:val="006A42D6"/>
    <w:rsid w:val="006A5389"/>
    <w:rsid w:val="006A5592"/>
    <w:rsid w:val="006A6A5B"/>
    <w:rsid w:val="006B01B9"/>
    <w:rsid w:val="006B1440"/>
    <w:rsid w:val="006B1BF0"/>
    <w:rsid w:val="006B241A"/>
    <w:rsid w:val="006B24F2"/>
    <w:rsid w:val="006B2DE2"/>
    <w:rsid w:val="006B558A"/>
    <w:rsid w:val="006B5BA3"/>
    <w:rsid w:val="006B6D29"/>
    <w:rsid w:val="006B70A3"/>
    <w:rsid w:val="006C060C"/>
    <w:rsid w:val="006C14B4"/>
    <w:rsid w:val="006C1659"/>
    <w:rsid w:val="006C25C9"/>
    <w:rsid w:val="006C3384"/>
    <w:rsid w:val="006C3C4A"/>
    <w:rsid w:val="006C50C6"/>
    <w:rsid w:val="006C69F3"/>
    <w:rsid w:val="006D0801"/>
    <w:rsid w:val="006D0EB2"/>
    <w:rsid w:val="006D1235"/>
    <w:rsid w:val="006D2287"/>
    <w:rsid w:val="006D4902"/>
    <w:rsid w:val="006D4ED0"/>
    <w:rsid w:val="006D6565"/>
    <w:rsid w:val="006D6D13"/>
    <w:rsid w:val="006D7B1B"/>
    <w:rsid w:val="006E175D"/>
    <w:rsid w:val="006E1B92"/>
    <w:rsid w:val="006E1D16"/>
    <w:rsid w:val="006E261A"/>
    <w:rsid w:val="006E2FB7"/>
    <w:rsid w:val="006E3830"/>
    <w:rsid w:val="006E4D0F"/>
    <w:rsid w:val="006E4D3C"/>
    <w:rsid w:val="006E4E70"/>
    <w:rsid w:val="006E50C3"/>
    <w:rsid w:val="006E7608"/>
    <w:rsid w:val="006E761E"/>
    <w:rsid w:val="006E7E9E"/>
    <w:rsid w:val="006F0092"/>
    <w:rsid w:val="006F01DB"/>
    <w:rsid w:val="006F0246"/>
    <w:rsid w:val="006F0503"/>
    <w:rsid w:val="006F139C"/>
    <w:rsid w:val="006F2B88"/>
    <w:rsid w:val="006F2DC9"/>
    <w:rsid w:val="006F366C"/>
    <w:rsid w:val="006F3E78"/>
    <w:rsid w:val="006F4C05"/>
    <w:rsid w:val="006F63C2"/>
    <w:rsid w:val="006F6A57"/>
    <w:rsid w:val="0070169A"/>
    <w:rsid w:val="00702770"/>
    <w:rsid w:val="00703BC1"/>
    <w:rsid w:val="00703EC2"/>
    <w:rsid w:val="00703F8B"/>
    <w:rsid w:val="00705946"/>
    <w:rsid w:val="00706FED"/>
    <w:rsid w:val="007100A9"/>
    <w:rsid w:val="00710F9A"/>
    <w:rsid w:val="00711BEF"/>
    <w:rsid w:val="00711F44"/>
    <w:rsid w:val="00712B51"/>
    <w:rsid w:val="00713C17"/>
    <w:rsid w:val="00714061"/>
    <w:rsid w:val="007143FA"/>
    <w:rsid w:val="00714624"/>
    <w:rsid w:val="00714A27"/>
    <w:rsid w:val="00715237"/>
    <w:rsid w:val="007156EC"/>
    <w:rsid w:val="00715814"/>
    <w:rsid w:val="007158B9"/>
    <w:rsid w:val="00717706"/>
    <w:rsid w:val="0072032D"/>
    <w:rsid w:val="0072121F"/>
    <w:rsid w:val="007224B0"/>
    <w:rsid w:val="00722AE4"/>
    <w:rsid w:val="00723114"/>
    <w:rsid w:val="00723166"/>
    <w:rsid w:val="00723B75"/>
    <w:rsid w:val="00723C0B"/>
    <w:rsid w:val="00724616"/>
    <w:rsid w:val="00724E64"/>
    <w:rsid w:val="007252E9"/>
    <w:rsid w:val="00725FA6"/>
    <w:rsid w:val="007267B3"/>
    <w:rsid w:val="0072706C"/>
    <w:rsid w:val="007277D6"/>
    <w:rsid w:val="007301C5"/>
    <w:rsid w:val="00731E65"/>
    <w:rsid w:val="0073376D"/>
    <w:rsid w:val="00734B1D"/>
    <w:rsid w:val="00734B63"/>
    <w:rsid w:val="00735D03"/>
    <w:rsid w:val="00737CCC"/>
    <w:rsid w:val="007401D3"/>
    <w:rsid w:val="0074235F"/>
    <w:rsid w:val="00742B81"/>
    <w:rsid w:val="00743777"/>
    <w:rsid w:val="007451CC"/>
    <w:rsid w:val="00747133"/>
    <w:rsid w:val="00747227"/>
    <w:rsid w:val="00747DBA"/>
    <w:rsid w:val="007500DD"/>
    <w:rsid w:val="0075138E"/>
    <w:rsid w:val="00752882"/>
    <w:rsid w:val="00753189"/>
    <w:rsid w:val="00753802"/>
    <w:rsid w:val="007538A6"/>
    <w:rsid w:val="00754238"/>
    <w:rsid w:val="00754DDA"/>
    <w:rsid w:val="007551B7"/>
    <w:rsid w:val="0075648D"/>
    <w:rsid w:val="00757B2C"/>
    <w:rsid w:val="007603ED"/>
    <w:rsid w:val="0076268B"/>
    <w:rsid w:val="00764D70"/>
    <w:rsid w:val="00764E40"/>
    <w:rsid w:val="00766192"/>
    <w:rsid w:val="00767059"/>
    <w:rsid w:val="00767827"/>
    <w:rsid w:val="007701DF"/>
    <w:rsid w:val="007719BF"/>
    <w:rsid w:val="00772C6A"/>
    <w:rsid w:val="00772D05"/>
    <w:rsid w:val="00773BF0"/>
    <w:rsid w:val="0077496B"/>
    <w:rsid w:val="00774D22"/>
    <w:rsid w:val="00775934"/>
    <w:rsid w:val="00776014"/>
    <w:rsid w:val="007760E3"/>
    <w:rsid w:val="007764C8"/>
    <w:rsid w:val="0077661A"/>
    <w:rsid w:val="00776C91"/>
    <w:rsid w:val="00777025"/>
    <w:rsid w:val="007805E8"/>
    <w:rsid w:val="00780A18"/>
    <w:rsid w:val="00780F16"/>
    <w:rsid w:val="0078177F"/>
    <w:rsid w:val="0078321E"/>
    <w:rsid w:val="00784A2F"/>
    <w:rsid w:val="007856F9"/>
    <w:rsid w:val="00785A3E"/>
    <w:rsid w:val="00785C5C"/>
    <w:rsid w:val="00785EA0"/>
    <w:rsid w:val="0078656F"/>
    <w:rsid w:val="0079080C"/>
    <w:rsid w:val="00793649"/>
    <w:rsid w:val="0079424A"/>
    <w:rsid w:val="007950E9"/>
    <w:rsid w:val="00795761"/>
    <w:rsid w:val="00795943"/>
    <w:rsid w:val="00795D55"/>
    <w:rsid w:val="00796966"/>
    <w:rsid w:val="0079730F"/>
    <w:rsid w:val="00797888"/>
    <w:rsid w:val="007A44C3"/>
    <w:rsid w:val="007A47C4"/>
    <w:rsid w:val="007A4858"/>
    <w:rsid w:val="007A5521"/>
    <w:rsid w:val="007A56F5"/>
    <w:rsid w:val="007A5E00"/>
    <w:rsid w:val="007A63CF"/>
    <w:rsid w:val="007A6567"/>
    <w:rsid w:val="007A7D19"/>
    <w:rsid w:val="007B0860"/>
    <w:rsid w:val="007B0E4F"/>
    <w:rsid w:val="007B2886"/>
    <w:rsid w:val="007B3957"/>
    <w:rsid w:val="007B492B"/>
    <w:rsid w:val="007B595B"/>
    <w:rsid w:val="007B7D88"/>
    <w:rsid w:val="007C1E8C"/>
    <w:rsid w:val="007C228F"/>
    <w:rsid w:val="007C2C37"/>
    <w:rsid w:val="007C2CEF"/>
    <w:rsid w:val="007C370C"/>
    <w:rsid w:val="007C417D"/>
    <w:rsid w:val="007C5059"/>
    <w:rsid w:val="007C6E79"/>
    <w:rsid w:val="007C7E81"/>
    <w:rsid w:val="007D26F5"/>
    <w:rsid w:val="007D2C59"/>
    <w:rsid w:val="007D6DC4"/>
    <w:rsid w:val="007D73AC"/>
    <w:rsid w:val="007E09EA"/>
    <w:rsid w:val="007E0A84"/>
    <w:rsid w:val="007E120B"/>
    <w:rsid w:val="007E1F62"/>
    <w:rsid w:val="007E2103"/>
    <w:rsid w:val="007E409C"/>
    <w:rsid w:val="007E4F49"/>
    <w:rsid w:val="007E4FC5"/>
    <w:rsid w:val="007E5654"/>
    <w:rsid w:val="007E70A6"/>
    <w:rsid w:val="007E72D1"/>
    <w:rsid w:val="007E7742"/>
    <w:rsid w:val="007E796B"/>
    <w:rsid w:val="007F05A3"/>
    <w:rsid w:val="007F1F45"/>
    <w:rsid w:val="007F2128"/>
    <w:rsid w:val="007F2314"/>
    <w:rsid w:val="007F37DD"/>
    <w:rsid w:val="007F4443"/>
    <w:rsid w:val="007F581C"/>
    <w:rsid w:val="007F5AF9"/>
    <w:rsid w:val="007F62AE"/>
    <w:rsid w:val="007F6771"/>
    <w:rsid w:val="007F6886"/>
    <w:rsid w:val="007F7FF7"/>
    <w:rsid w:val="00800144"/>
    <w:rsid w:val="008006F0"/>
    <w:rsid w:val="0080071E"/>
    <w:rsid w:val="00801D60"/>
    <w:rsid w:val="00803B7D"/>
    <w:rsid w:val="00804402"/>
    <w:rsid w:val="00804989"/>
    <w:rsid w:val="00804B6F"/>
    <w:rsid w:val="00804F0B"/>
    <w:rsid w:val="00805E06"/>
    <w:rsid w:val="008065C6"/>
    <w:rsid w:val="0080716F"/>
    <w:rsid w:val="008076CB"/>
    <w:rsid w:val="00807D30"/>
    <w:rsid w:val="0081162D"/>
    <w:rsid w:val="00812271"/>
    <w:rsid w:val="0081378E"/>
    <w:rsid w:val="00815580"/>
    <w:rsid w:val="00815837"/>
    <w:rsid w:val="00820064"/>
    <w:rsid w:val="008201D5"/>
    <w:rsid w:val="00820D30"/>
    <w:rsid w:val="00821548"/>
    <w:rsid w:val="00821A99"/>
    <w:rsid w:val="008220EA"/>
    <w:rsid w:val="00822D76"/>
    <w:rsid w:val="008246FC"/>
    <w:rsid w:val="0082518E"/>
    <w:rsid w:val="008254A4"/>
    <w:rsid w:val="00825806"/>
    <w:rsid w:val="008258A8"/>
    <w:rsid w:val="0082594A"/>
    <w:rsid w:val="00825C87"/>
    <w:rsid w:val="00826264"/>
    <w:rsid w:val="00826ADB"/>
    <w:rsid w:val="00827440"/>
    <w:rsid w:val="008274EF"/>
    <w:rsid w:val="00830829"/>
    <w:rsid w:val="0083085F"/>
    <w:rsid w:val="00830B11"/>
    <w:rsid w:val="00830E41"/>
    <w:rsid w:val="00831D27"/>
    <w:rsid w:val="00832037"/>
    <w:rsid w:val="00832A4D"/>
    <w:rsid w:val="00833176"/>
    <w:rsid w:val="00834D68"/>
    <w:rsid w:val="00835257"/>
    <w:rsid w:val="00835E5D"/>
    <w:rsid w:val="00837485"/>
    <w:rsid w:val="00837557"/>
    <w:rsid w:val="00837731"/>
    <w:rsid w:val="00837A93"/>
    <w:rsid w:val="00837C18"/>
    <w:rsid w:val="008405C0"/>
    <w:rsid w:val="00840652"/>
    <w:rsid w:val="008415A6"/>
    <w:rsid w:val="0084401D"/>
    <w:rsid w:val="008451DA"/>
    <w:rsid w:val="0084668B"/>
    <w:rsid w:val="00847437"/>
    <w:rsid w:val="008474FB"/>
    <w:rsid w:val="00850795"/>
    <w:rsid w:val="008508A8"/>
    <w:rsid w:val="008524D6"/>
    <w:rsid w:val="00852791"/>
    <w:rsid w:val="00852969"/>
    <w:rsid w:val="00852995"/>
    <w:rsid w:val="00852AD2"/>
    <w:rsid w:val="008536F2"/>
    <w:rsid w:val="0085393E"/>
    <w:rsid w:val="00853C36"/>
    <w:rsid w:val="00854557"/>
    <w:rsid w:val="00854F0B"/>
    <w:rsid w:val="00854FFE"/>
    <w:rsid w:val="008552B9"/>
    <w:rsid w:val="00855622"/>
    <w:rsid w:val="00856CB7"/>
    <w:rsid w:val="008575C0"/>
    <w:rsid w:val="008579DE"/>
    <w:rsid w:val="0086260B"/>
    <w:rsid w:val="00862C72"/>
    <w:rsid w:val="008633E6"/>
    <w:rsid w:val="00863E49"/>
    <w:rsid w:val="00864FEF"/>
    <w:rsid w:val="008653A0"/>
    <w:rsid w:val="00865DE8"/>
    <w:rsid w:val="00866741"/>
    <w:rsid w:val="00867950"/>
    <w:rsid w:val="00867CDE"/>
    <w:rsid w:val="00870E65"/>
    <w:rsid w:val="0087132C"/>
    <w:rsid w:val="00872977"/>
    <w:rsid w:val="00874358"/>
    <w:rsid w:val="00874532"/>
    <w:rsid w:val="00874C89"/>
    <w:rsid w:val="008753FF"/>
    <w:rsid w:val="00875448"/>
    <w:rsid w:val="00875B6D"/>
    <w:rsid w:val="00875ECB"/>
    <w:rsid w:val="00876406"/>
    <w:rsid w:val="0087766F"/>
    <w:rsid w:val="00877EDD"/>
    <w:rsid w:val="008800E6"/>
    <w:rsid w:val="008801BB"/>
    <w:rsid w:val="00883193"/>
    <w:rsid w:val="00883946"/>
    <w:rsid w:val="00883C71"/>
    <w:rsid w:val="0088506C"/>
    <w:rsid w:val="008852B6"/>
    <w:rsid w:val="00885EAB"/>
    <w:rsid w:val="008864F0"/>
    <w:rsid w:val="0088661F"/>
    <w:rsid w:val="0088669B"/>
    <w:rsid w:val="008872E0"/>
    <w:rsid w:val="008876EC"/>
    <w:rsid w:val="00893622"/>
    <w:rsid w:val="00893B95"/>
    <w:rsid w:val="00894196"/>
    <w:rsid w:val="008943C8"/>
    <w:rsid w:val="00896118"/>
    <w:rsid w:val="00896CAC"/>
    <w:rsid w:val="0089723F"/>
    <w:rsid w:val="008A06E2"/>
    <w:rsid w:val="008A091B"/>
    <w:rsid w:val="008A0BD6"/>
    <w:rsid w:val="008A1211"/>
    <w:rsid w:val="008A1A0A"/>
    <w:rsid w:val="008A2527"/>
    <w:rsid w:val="008A3405"/>
    <w:rsid w:val="008A3CB5"/>
    <w:rsid w:val="008A42EA"/>
    <w:rsid w:val="008A4DCE"/>
    <w:rsid w:val="008A563A"/>
    <w:rsid w:val="008A6205"/>
    <w:rsid w:val="008A7258"/>
    <w:rsid w:val="008A7AD0"/>
    <w:rsid w:val="008B0835"/>
    <w:rsid w:val="008B1869"/>
    <w:rsid w:val="008B2653"/>
    <w:rsid w:val="008B2FF1"/>
    <w:rsid w:val="008B40E3"/>
    <w:rsid w:val="008B444A"/>
    <w:rsid w:val="008B4477"/>
    <w:rsid w:val="008B48DE"/>
    <w:rsid w:val="008B5B58"/>
    <w:rsid w:val="008B6B00"/>
    <w:rsid w:val="008B7EBD"/>
    <w:rsid w:val="008C0E28"/>
    <w:rsid w:val="008C2BF0"/>
    <w:rsid w:val="008C37D4"/>
    <w:rsid w:val="008C4AAA"/>
    <w:rsid w:val="008C5C59"/>
    <w:rsid w:val="008C6511"/>
    <w:rsid w:val="008C7A74"/>
    <w:rsid w:val="008D0E2B"/>
    <w:rsid w:val="008D1444"/>
    <w:rsid w:val="008D1714"/>
    <w:rsid w:val="008D1D5D"/>
    <w:rsid w:val="008D2745"/>
    <w:rsid w:val="008D274D"/>
    <w:rsid w:val="008D295B"/>
    <w:rsid w:val="008D3729"/>
    <w:rsid w:val="008D3966"/>
    <w:rsid w:val="008D4577"/>
    <w:rsid w:val="008D4C0A"/>
    <w:rsid w:val="008D4CF8"/>
    <w:rsid w:val="008D4E21"/>
    <w:rsid w:val="008D5C0E"/>
    <w:rsid w:val="008D5CFB"/>
    <w:rsid w:val="008D60AE"/>
    <w:rsid w:val="008E06DC"/>
    <w:rsid w:val="008E098C"/>
    <w:rsid w:val="008E0C97"/>
    <w:rsid w:val="008E241B"/>
    <w:rsid w:val="008E2C8D"/>
    <w:rsid w:val="008E2FAE"/>
    <w:rsid w:val="008E30BF"/>
    <w:rsid w:val="008E39F4"/>
    <w:rsid w:val="008E3CE9"/>
    <w:rsid w:val="008E415E"/>
    <w:rsid w:val="008E41A7"/>
    <w:rsid w:val="008E44E0"/>
    <w:rsid w:val="008E5003"/>
    <w:rsid w:val="008E6793"/>
    <w:rsid w:val="008E68F3"/>
    <w:rsid w:val="008E6EB3"/>
    <w:rsid w:val="008E745C"/>
    <w:rsid w:val="008E75EC"/>
    <w:rsid w:val="008E7D71"/>
    <w:rsid w:val="008F1A71"/>
    <w:rsid w:val="008F1AD9"/>
    <w:rsid w:val="008F2B66"/>
    <w:rsid w:val="008F2D54"/>
    <w:rsid w:val="008F389B"/>
    <w:rsid w:val="008F4D0C"/>
    <w:rsid w:val="008F5DBD"/>
    <w:rsid w:val="008F61C6"/>
    <w:rsid w:val="008F62CD"/>
    <w:rsid w:val="008F6342"/>
    <w:rsid w:val="008F6A76"/>
    <w:rsid w:val="008F6DAF"/>
    <w:rsid w:val="008F77BA"/>
    <w:rsid w:val="0090078D"/>
    <w:rsid w:val="00900EFA"/>
    <w:rsid w:val="00902583"/>
    <w:rsid w:val="00902B1E"/>
    <w:rsid w:val="00902B81"/>
    <w:rsid w:val="009033A5"/>
    <w:rsid w:val="00906109"/>
    <w:rsid w:val="00906C85"/>
    <w:rsid w:val="00907FC5"/>
    <w:rsid w:val="00910575"/>
    <w:rsid w:val="009127C1"/>
    <w:rsid w:val="00913027"/>
    <w:rsid w:val="00913620"/>
    <w:rsid w:val="009136AD"/>
    <w:rsid w:val="009144D0"/>
    <w:rsid w:val="0091628B"/>
    <w:rsid w:val="00916415"/>
    <w:rsid w:val="00916465"/>
    <w:rsid w:val="009169CB"/>
    <w:rsid w:val="009207B7"/>
    <w:rsid w:val="00920B5B"/>
    <w:rsid w:val="009210F2"/>
    <w:rsid w:val="0092125A"/>
    <w:rsid w:val="009222AF"/>
    <w:rsid w:val="00922F01"/>
    <w:rsid w:val="00924075"/>
    <w:rsid w:val="00925E24"/>
    <w:rsid w:val="00927A13"/>
    <w:rsid w:val="00930B38"/>
    <w:rsid w:val="00930DDA"/>
    <w:rsid w:val="00931881"/>
    <w:rsid w:val="00931B28"/>
    <w:rsid w:val="00931D71"/>
    <w:rsid w:val="009338CD"/>
    <w:rsid w:val="0093464D"/>
    <w:rsid w:val="00935AF5"/>
    <w:rsid w:val="0093715A"/>
    <w:rsid w:val="00940524"/>
    <w:rsid w:val="009405BF"/>
    <w:rsid w:val="00940B90"/>
    <w:rsid w:val="009423E5"/>
    <w:rsid w:val="009434CE"/>
    <w:rsid w:val="00943F0B"/>
    <w:rsid w:val="00944891"/>
    <w:rsid w:val="00944C63"/>
    <w:rsid w:val="00944FA7"/>
    <w:rsid w:val="00947CB5"/>
    <w:rsid w:val="00947F02"/>
    <w:rsid w:val="00950859"/>
    <w:rsid w:val="00951166"/>
    <w:rsid w:val="00953992"/>
    <w:rsid w:val="0095410E"/>
    <w:rsid w:val="00955FE8"/>
    <w:rsid w:val="009572D8"/>
    <w:rsid w:val="00957C8A"/>
    <w:rsid w:val="00957D03"/>
    <w:rsid w:val="009608AD"/>
    <w:rsid w:val="009613E1"/>
    <w:rsid w:val="009616DD"/>
    <w:rsid w:val="00962823"/>
    <w:rsid w:val="00962EF8"/>
    <w:rsid w:val="009640E3"/>
    <w:rsid w:val="00964476"/>
    <w:rsid w:val="00964834"/>
    <w:rsid w:val="0096498F"/>
    <w:rsid w:val="00964A1C"/>
    <w:rsid w:val="00964B96"/>
    <w:rsid w:val="00964C2C"/>
    <w:rsid w:val="00965128"/>
    <w:rsid w:val="009654CB"/>
    <w:rsid w:val="00966741"/>
    <w:rsid w:val="00966C9D"/>
    <w:rsid w:val="00967BFC"/>
    <w:rsid w:val="009700A1"/>
    <w:rsid w:val="0097043E"/>
    <w:rsid w:val="00971062"/>
    <w:rsid w:val="0097176F"/>
    <w:rsid w:val="009725FE"/>
    <w:rsid w:val="009726D6"/>
    <w:rsid w:val="00973328"/>
    <w:rsid w:val="00973377"/>
    <w:rsid w:val="00973AE0"/>
    <w:rsid w:val="00973E4D"/>
    <w:rsid w:val="00975192"/>
    <w:rsid w:val="00975488"/>
    <w:rsid w:val="009823BC"/>
    <w:rsid w:val="0098283B"/>
    <w:rsid w:val="0098306A"/>
    <w:rsid w:val="009839EF"/>
    <w:rsid w:val="00983C75"/>
    <w:rsid w:val="00983CAF"/>
    <w:rsid w:val="009841A1"/>
    <w:rsid w:val="00986BD6"/>
    <w:rsid w:val="009871B1"/>
    <w:rsid w:val="00987306"/>
    <w:rsid w:val="00987BDF"/>
    <w:rsid w:val="0099104D"/>
    <w:rsid w:val="00991F05"/>
    <w:rsid w:val="00992B7D"/>
    <w:rsid w:val="00992CAF"/>
    <w:rsid w:val="00993BAC"/>
    <w:rsid w:val="00994396"/>
    <w:rsid w:val="00995627"/>
    <w:rsid w:val="00995AE3"/>
    <w:rsid w:val="00995CD6"/>
    <w:rsid w:val="00995FD5"/>
    <w:rsid w:val="00996377"/>
    <w:rsid w:val="00996544"/>
    <w:rsid w:val="00996D6B"/>
    <w:rsid w:val="009973EB"/>
    <w:rsid w:val="009A023A"/>
    <w:rsid w:val="009A08C8"/>
    <w:rsid w:val="009A0B43"/>
    <w:rsid w:val="009A1166"/>
    <w:rsid w:val="009A170E"/>
    <w:rsid w:val="009A18B6"/>
    <w:rsid w:val="009A1CA9"/>
    <w:rsid w:val="009A1CD9"/>
    <w:rsid w:val="009A24E8"/>
    <w:rsid w:val="009A2A4D"/>
    <w:rsid w:val="009A58F9"/>
    <w:rsid w:val="009A6697"/>
    <w:rsid w:val="009A7A13"/>
    <w:rsid w:val="009A7AB6"/>
    <w:rsid w:val="009A7B7D"/>
    <w:rsid w:val="009B0156"/>
    <w:rsid w:val="009B03DE"/>
    <w:rsid w:val="009B0AE0"/>
    <w:rsid w:val="009B113C"/>
    <w:rsid w:val="009B1F48"/>
    <w:rsid w:val="009B1FED"/>
    <w:rsid w:val="009B20FA"/>
    <w:rsid w:val="009B3751"/>
    <w:rsid w:val="009B5484"/>
    <w:rsid w:val="009B6713"/>
    <w:rsid w:val="009B72AA"/>
    <w:rsid w:val="009B7607"/>
    <w:rsid w:val="009B7A33"/>
    <w:rsid w:val="009B7B04"/>
    <w:rsid w:val="009C0238"/>
    <w:rsid w:val="009C17BF"/>
    <w:rsid w:val="009C3227"/>
    <w:rsid w:val="009C40DD"/>
    <w:rsid w:val="009C68D8"/>
    <w:rsid w:val="009C6D5A"/>
    <w:rsid w:val="009C72D3"/>
    <w:rsid w:val="009C7997"/>
    <w:rsid w:val="009D1264"/>
    <w:rsid w:val="009D12CC"/>
    <w:rsid w:val="009D1B6A"/>
    <w:rsid w:val="009D1C8E"/>
    <w:rsid w:val="009D28F4"/>
    <w:rsid w:val="009D2A5A"/>
    <w:rsid w:val="009D2BA7"/>
    <w:rsid w:val="009D2F58"/>
    <w:rsid w:val="009D4670"/>
    <w:rsid w:val="009D4AF7"/>
    <w:rsid w:val="009D5520"/>
    <w:rsid w:val="009D6BA8"/>
    <w:rsid w:val="009D7187"/>
    <w:rsid w:val="009D7F95"/>
    <w:rsid w:val="009E00CD"/>
    <w:rsid w:val="009E0255"/>
    <w:rsid w:val="009E03B2"/>
    <w:rsid w:val="009E0578"/>
    <w:rsid w:val="009E05A9"/>
    <w:rsid w:val="009E0A3D"/>
    <w:rsid w:val="009E1B36"/>
    <w:rsid w:val="009E2856"/>
    <w:rsid w:val="009E4611"/>
    <w:rsid w:val="009E485C"/>
    <w:rsid w:val="009E5884"/>
    <w:rsid w:val="009E604F"/>
    <w:rsid w:val="009E7121"/>
    <w:rsid w:val="009E71A8"/>
    <w:rsid w:val="009E71D9"/>
    <w:rsid w:val="009E7A02"/>
    <w:rsid w:val="009E7AEA"/>
    <w:rsid w:val="009E7B84"/>
    <w:rsid w:val="009F04EE"/>
    <w:rsid w:val="009F0FC5"/>
    <w:rsid w:val="009F108B"/>
    <w:rsid w:val="009F19CF"/>
    <w:rsid w:val="009F1B64"/>
    <w:rsid w:val="009F1EBE"/>
    <w:rsid w:val="009F4D56"/>
    <w:rsid w:val="009F5F5A"/>
    <w:rsid w:val="00A0062E"/>
    <w:rsid w:val="00A01B22"/>
    <w:rsid w:val="00A02C06"/>
    <w:rsid w:val="00A03C42"/>
    <w:rsid w:val="00A04B30"/>
    <w:rsid w:val="00A0558A"/>
    <w:rsid w:val="00A05B2F"/>
    <w:rsid w:val="00A05E1E"/>
    <w:rsid w:val="00A0643B"/>
    <w:rsid w:val="00A0652D"/>
    <w:rsid w:val="00A079AF"/>
    <w:rsid w:val="00A07ED9"/>
    <w:rsid w:val="00A07F9C"/>
    <w:rsid w:val="00A10641"/>
    <w:rsid w:val="00A1070A"/>
    <w:rsid w:val="00A1073C"/>
    <w:rsid w:val="00A10CF0"/>
    <w:rsid w:val="00A1230D"/>
    <w:rsid w:val="00A130D4"/>
    <w:rsid w:val="00A13242"/>
    <w:rsid w:val="00A133A8"/>
    <w:rsid w:val="00A133CA"/>
    <w:rsid w:val="00A137F7"/>
    <w:rsid w:val="00A14391"/>
    <w:rsid w:val="00A145AF"/>
    <w:rsid w:val="00A16310"/>
    <w:rsid w:val="00A1639D"/>
    <w:rsid w:val="00A16E29"/>
    <w:rsid w:val="00A16E65"/>
    <w:rsid w:val="00A21026"/>
    <w:rsid w:val="00A227B6"/>
    <w:rsid w:val="00A22880"/>
    <w:rsid w:val="00A2337A"/>
    <w:rsid w:val="00A23D53"/>
    <w:rsid w:val="00A25190"/>
    <w:rsid w:val="00A261F0"/>
    <w:rsid w:val="00A26822"/>
    <w:rsid w:val="00A26D62"/>
    <w:rsid w:val="00A26DDA"/>
    <w:rsid w:val="00A32025"/>
    <w:rsid w:val="00A326E2"/>
    <w:rsid w:val="00A32FCB"/>
    <w:rsid w:val="00A33408"/>
    <w:rsid w:val="00A339CC"/>
    <w:rsid w:val="00A34EBA"/>
    <w:rsid w:val="00A355A4"/>
    <w:rsid w:val="00A3581B"/>
    <w:rsid w:val="00A35DAF"/>
    <w:rsid w:val="00A36350"/>
    <w:rsid w:val="00A36D8A"/>
    <w:rsid w:val="00A3700C"/>
    <w:rsid w:val="00A3785B"/>
    <w:rsid w:val="00A379FE"/>
    <w:rsid w:val="00A404A0"/>
    <w:rsid w:val="00A41481"/>
    <w:rsid w:val="00A41731"/>
    <w:rsid w:val="00A41D3C"/>
    <w:rsid w:val="00A42BA3"/>
    <w:rsid w:val="00A43ECB"/>
    <w:rsid w:val="00A44A79"/>
    <w:rsid w:val="00A45E96"/>
    <w:rsid w:val="00A46749"/>
    <w:rsid w:val="00A468FB"/>
    <w:rsid w:val="00A47088"/>
    <w:rsid w:val="00A472F8"/>
    <w:rsid w:val="00A474F8"/>
    <w:rsid w:val="00A47B2D"/>
    <w:rsid w:val="00A47B30"/>
    <w:rsid w:val="00A50621"/>
    <w:rsid w:val="00A50CFB"/>
    <w:rsid w:val="00A51492"/>
    <w:rsid w:val="00A51571"/>
    <w:rsid w:val="00A51F90"/>
    <w:rsid w:val="00A5239F"/>
    <w:rsid w:val="00A52BFE"/>
    <w:rsid w:val="00A52FD5"/>
    <w:rsid w:val="00A540F7"/>
    <w:rsid w:val="00A541AF"/>
    <w:rsid w:val="00A54520"/>
    <w:rsid w:val="00A549EA"/>
    <w:rsid w:val="00A555C2"/>
    <w:rsid w:val="00A5562E"/>
    <w:rsid w:val="00A5626A"/>
    <w:rsid w:val="00A60626"/>
    <w:rsid w:val="00A6182C"/>
    <w:rsid w:val="00A62DBC"/>
    <w:rsid w:val="00A64154"/>
    <w:rsid w:val="00A644E8"/>
    <w:rsid w:val="00A652C2"/>
    <w:rsid w:val="00A65D2E"/>
    <w:rsid w:val="00A65D8E"/>
    <w:rsid w:val="00A6633A"/>
    <w:rsid w:val="00A67C1A"/>
    <w:rsid w:val="00A7023E"/>
    <w:rsid w:val="00A707D2"/>
    <w:rsid w:val="00A71FA6"/>
    <w:rsid w:val="00A7241E"/>
    <w:rsid w:val="00A72821"/>
    <w:rsid w:val="00A72AD5"/>
    <w:rsid w:val="00A72BF8"/>
    <w:rsid w:val="00A732DE"/>
    <w:rsid w:val="00A74928"/>
    <w:rsid w:val="00A757E7"/>
    <w:rsid w:val="00A75A0B"/>
    <w:rsid w:val="00A75C3B"/>
    <w:rsid w:val="00A75CBC"/>
    <w:rsid w:val="00A76EAD"/>
    <w:rsid w:val="00A80079"/>
    <w:rsid w:val="00A80567"/>
    <w:rsid w:val="00A8130D"/>
    <w:rsid w:val="00A81B9A"/>
    <w:rsid w:val="00A81DD9"/>
    <w:rsid w:val="00A8213F"/>
    <w:rsid w:val="00A82658"/>
    <w:rsid w:val="00A837DC"/>
    <w:rsid w:val="00A83B8D"/>
    <w:rsid w:val="00A83D43"/>
    <w:rsid w:val="00A83EFB"/>
    <w:rsid w:val="00A85177"/>
    <w:rsid w:val="00A856F8"/>
    <w:rsid w:val="00A856FD"/>
    <w:rsid w:val="00A85716"/>
    <w:rsid w:val="00A85A3B"/>
    <w:rsid w:val="00A85B7B"/>
    <w:rsid w:val="00A863FE"/>
    <w:rsid w:val="00A9189E"/>
    <w:rsid w:val="00A91CB9"/>
    <w:rsid w:val="00A920B4"/>
    <w:rsid w:val="00A931F6"/>
    <w:rsid w:val="00A93867"/>
    <w:rsid w:val="00A93DB0"/>
    <w:rsid w:val="00A940C9"/>
    <w:rsid w:val="00A94678"/>
    <w:rsid w:val="00A957EC"/>
    <w:rsid w:val="00A95A20"/>
    <w:rsid w:val="00A95B5C"/>
    <w:rsid w:val="00A961B4"/>
    <w:rsid w:val="00A968C3"/>
    <w:rsid w:val="00A96F1C"/>
    <w:rsid w:val="00A973DF"/>
    <w:rsid w:val="00A97A36"/>
    <w:rsid w:val="00A97CB6"/>
    <w:rsid w:val="00AA0349"/>
    <w:rsid w:val="00AA0CBF"/>
    <w:rsid w:val="00AA1F20"/>
    <w:rsid w:val="00AA2748"/>
    <w:rsid w:val="00AA30BE"/>
    <w:rsid w:val="00AA33F5"/>
    <w:rsid w:val="00AA4687"/>
    <w:rsid w:val="00AA4916"/>
    <w:rsid w:val="00AA648E"/>
    <w:rsid w:val="00AA6588"/>
    <w:rsid w:val="00AA7195"/>
    <w:rsid w:val="00AA747B"/>
    <w:rsid w:val="00AA74E0"/>
    <w:rsid w:val="00AB0CB1"/>
    <w:rsid w:val="00AB257F"/>
    <w:rsid w:val="00AB2BD2"/>
    <w:rsid w:val="00AB43F6"/>
    <w:rsid w:val="00AB5180"/>
    <w:rsid w:val="00AB530C"/>
    <w:rsid w:val="00AB64F6"/>
    <w:rsid w:val="00AB6A4B"/>
    <w:rsid w:val="00AB6C85"/>
    <w:rsid w:val="00AB75B5"/>
    <w:rsid w:val="00AC04EB"/>
    <w:rsid w:val="00AC0721"/>
    <w:rsid w:val="00AC097E"/>
    <w:rsid w:val="00AC1692"/>
    <w:rsid w:val="00AC19DA"/>
    <w:rsid w:val="00AC20FB"/>
    <w:rsid w:val="00AC2335"/>
    <w:rsid w:val="00AC2B07"/>
    <w:rsid w:val="00AC3245"/>
    <w:rsid w:val="00AC3D53"/>
    <w:rsid w:val="00AC40A4"/>
    <w:rsid w:val="00AC4474"/>
    <w:rsid w:val="00AC4518"/>
    <w:rsid w:val="00AC6A15"/>
    <w:rsid w:val="00AC735C"/>
    <w:rsid w:val="00AD01A5"/>
    <w:rsid w:val="00AD1A20"/>
    <w:rsid w:val="00AD1DC2"/>
    <w:rsid w:val="00AD2400"/>
    <w:rsid w:val="00AD2AA1"/>
    <w:rsid w:val="00AD3039"/>
    <w:rsid w:val="00AD3224"/>
    <w:rsid w:val="00AD3890"/>
    <w:rsid w:val="00AD3A41"/>
    <w:rsid w:val="00AD3EE8"/>
    <w:rsid w:val="00AD3F36"/>
    <w:rsid w:val="00AD4409"/>
    <w:rsid w:val="00AD7DBE"/>
    <w:rsid w:val="00AE2655"/>
    <w:rsid w:val="00AE2755"/>
    <w:rsid w:val="00AE3CC6"/>
    <w:rsid w:val="00AE4956"/>
    <w:rsid w:val="00AE5E1C"/>
    <w:rsid w:val="00AF00ED"/>
    <w:rsid w:val="00AF0790"/>
    <w:rsid w:val="00AF08F7"/>
    <w:rsid w:val="00AF0F64"/>
    <w:rsid w:val="00AF1226"/>
    <w:rsid w:val="00AF1BB7"/>
    <w:rsid w:val="00AF2C7B"/>
    <w:rsid w:val="00AF2CCF"/>
    <w:rsid w:val="00AF3971"/>
    <w:rsid w:val="00AF4245"/>
    <w:rsid w:val="00AF4315"/>
    <w:rsid w:val="00AF43FD"/>
    <w:rsid w:val="00AF46B9"/>
    <w:rsid w:val="00AF4A31"/>
    <w:rsid w:val="00AF623C"/>
    <w:rsid w:val="00AF6764"/>
    <w:rsid w:val="00B023EA"/>
    <w:rsid w:val="00B02968"/>
    <w:rsid w:val="00B02B30"/>
    <w:rsid w:val="00B032A1"/>
    <w:rsid w:val="00B03D96"/>
    <w:rsid w:val="00B04382"/>
    <w:rsid w:val="00B0634F"/>
    <w:rsid w:val="00B10148"/>
    <w:rsid w:val="00B112F2"/>
    <w:rsid w:val="00B1471B"/>
    <w:rsid w:val="00B159D7"/>
    <w:rsid w:val="00B201DC"/>
    <w:rsid w:val="00B21654"/>
    <w:rsid w:val="00B21923"/>
    <w:rsid w:val="00B2343A"/>
    <w:rsid w:val="00B2366F"/>
    <w:rsid w:val="00B23C6F"/>
    <w:rsid w:val="00B23FF7"/>
    <w:rsid w:val="00B25488"/>
    <w:rsid w:val="00B259E8"/>
    <w:rsid w:val="00B26C82"/>
    <w:rsid w:val="00B30788"/>
    <w:rsid w:val="00B30973"/>
    <w:rsid w:val="00B311C2"/>
    <w:rsid w:val="00B31247"/>
    <w:rsid w:val="00B313B2"/>
    <w:rsid w:val="00B31DA1"/>
    <w:rsid w:val="00B3280E"/>
    <w:rsid w:val="00B32BEF"/>
    <w:rsid w:val="00B338CF"/>
    <w:rsid w:val="00B339E1"/>
    <w:rsid w:val="00B33BEC"/>
    <w:rsid w:val="00B36DDA"/>
    <w:rsid w:val="00B40324"/>
    <w:rsid w:val="00B40445"/>
    <w:rsid w:val="00B40945"/>
    <w:rsid w:val="00B4145B"/>
    <w:rsid w:val="00B41D27"/>
    <w:rsid w:val="00B42F78"/>
    <w:rsid w:val="00B43828"/>
    <w:rsid w:val="00B446E5"/>
    <w:rsid w:val="00B463F9"/>
    <w:rsid w:val="00B46636"/>
    <w:rsid w:val="00B46D41"/>
    <w:rsid w:val="00B4763D"/>
    <w:rsid w:val="00B505D4"/>
    <w:rsid w:val="00B50F3A"/>
    <w:rsid w:val="00B50F6E"/>
    <w:rsid w:val="00B5136C"/>
    <w:rsid w:val="00B51563"/>
    <w:rsid w:val="00B51D20"/>
    <w:rsid w:val="00B53B7B"/>
    <w:rsid w:val="00B54240"/>
    <w:rsid w:val="00B54845"/>
    <w:rsid w:val="00B54D0C"/>
    <w:rsid w:val="00B55A8C"/>
    <w:rsid w:val="00B565ED"/>
    <w:rsid w:val="00B56915"/>
    <w:rsid w:val="00B56FB7"/>
    <w:rsid w:val="00B572A8"/>
    <w:rsid w:val="00B57C46"/>
    <w:rsid w:val="00B60593"/>
    <w:rsid w:val="00B6063E"/>
    <w:rsid w:val="00B61654"/>
    <w:rsid w:val="00B61E14"/>
    <w:rsid w:val="00B620C5"/>
    <w:rsid w:val="00B62236"/>
    <w:rsid w:val="00B628D8"/>
    <w:rsid w:val="00B62CDC"/>
    <w:rsid w:val="00B630C3"/>
    <w:rsid w:val="00B63C72"/>
    <w:rsid w:val="00B64186"/>
    <w:rsid w:val="00B6510D"/>
    <w:rsid w:val="00B65629"/>
    <w:rsid w:val="00B664D6"/>
    <w:rsid w:val="00B66AB4"/>
    <w:rsid w:val="00B66C10"/>
    <w:rsid w:val="00B70129"/>
    <w:rsid w:val="00B702FA"/>
    <w:rsid w:val="00B70C76"/>
    <w:rsid w:val="00B72655"/>
    <w:rsid w:val="00B74621"/>
    <w:rsid w:val="00B74CA0"/>
    <w:rsid w:val="00B7592B"/>
    <w:rsid w:val="00B75C7F"/>
    <w:rsid w:val="00B7624B"/>
    <w:rsid w:val="00B772DF"/>
    <w:rsid w:val="00B77D78"/>
    <w:rsid w:val="00B8003F"/>
    <w:rsid w:val="00B8018C"/>
    <w:rsid w:val="00B8068C"/>
    <w:rsid w:val="00B80899"/>
    <w:rsid w:val="00B82FC6"/>
    <w:rsid w:val="00B83B03"/>
    <w:rsid w:val="00B87ACE"/>
    <w:rsid w:val="00B90726"/>
    <w:rsid w:val="00B915D6"/>
    <w:rsid w:val="00B915DF"/>
    <w:rsid w:val="00B9195B"/>
    <w:rsid w:val="00B92E2E"/>
    <w:rsid w:val="00B9452C"/>
    <w:rsid w:val="00B947A8"/>
    <w:rsid w:val="00B94CA3"/>
    <w:rsid w:val="00B94EF6"/>
    <w:rsid w:val="00B952AF"/>
    <w:rsid w:val="00B95922"/>
    <w:rsid w:val="00B9665D"/>
    <w:rsid w:val="00B9726C"/>
    <w:rsid w:val="00B97B30"/>
    <w:rsid w:val="00B97D40"/>
    <w:rsid w:val="00BA04D7"/>
    <w:rsid w:val="00BA147F"/>
    <w:rsid w:val="00BA19D1"/>
    <w:rsid w:val="00BA1FBA"/>
    <w:rsid w:val="00BA2D4F"/>
    <w:rsid w:val="00BA33FE"/>
    <w:rsid w:val="00BA53F9"/>
    <w:rsid w:val="00BA6AA3"/>
    <w:rsid w:val="00BB0670"/>
    <w:rsid w:val="00BB0FDD"/>
    <w:rsid w:val="00BB108B"/>
    <w:rsid w:val="00BB1B7F"/>
    <w:rsid w:val="00BB2349"/>
    <w:rsid w:val="00BB407B"/>
    <w:rsid w:val="00BB69E7"/>
    <w:rsid w:val="00BB75CC"/>
    <w:rsid w:val="00BC19AB"/>
    <w:rsid w:val="00BC24EB"/>
    <w:rsid w:val="00BC2646"/>
    <w:rsid w:val="00BC3393"/>
    <w:rsid w:val="00BC353F"/>
    <w:rsid w:val="00BC3645"/>
    <w:rsid w:val="00BC48C7"/>
    <w:rsid w:val="00BC58BA"/>
    <w:rsid w:val="00BC65AC"/>
    <w:rsid w:val="00BC6699"/>
    <w:rsid w:val="00BC67E3"/>
    <w:rsid w:val="00BC6FFC"/>
    <w:rsid w:val="00BD0772"/>
    <w:rsid w:val="00BD1862"/>
    <w:rsid w:val="00BD29DA"/>
    <w:rsid w:val="00BD2D43"/>
    <w:rsid w:val="00BD3088"/>
    <w:rsid w:val="00BD39C1"/>
    <w:rsid w:val="00BD4857"/>
    <w:rsid w:val="00BD5261"/>
    <w:rsid w:val="00BD5799"/>
    <w:rsid w:val="00BD6410"/>
    <w:rsid w:val="00BE08D9"/>
    <w:rsid w:val="00BE09DF"/>
    <w:rsid w:val="00BE1044"/>
    <w:rsid w:val="00BE197A"/>
    <w:rsid w:val="00BE1E3D"/>
    <w:rsid w:val="00BE2160"/>
    <w:rsid w:val="00BE4FCC"/>
    <w:rsid w:val="00BE6242"/>
    <w:rsid w:val="00BE78BA"/>
    <w:rsid w:val="00BF081A"/>
    <w:rsid w:val="00BF0DA5"/>
    <w:rsid w:val="00BF1E18"/>
    <w:rsid w:val="00BF375A"/>
    <w:rsid w:val="00BF3E27"/>
    <w:rsid w:val="00BF3FC6"/>
    <w:rsid w:val="00BF4318"/>
    <w:rsid w:val="00BF4C8A"/>
    <w:rsid w:val="00BF58CB"/>
    <w:rsid w:val="00BF655C"/>
    <w:rsid w:val="00BF7815"/>
    <w:rsid w:val="00BF7915"/>
    <w:rsid w:val="00C0002D"/>
    <w:rsid w:val="00C00858"/>
    <w:rsid w:val="00C01507"/>
    <w:rsid w:val="00C01BA0"/>
    <w:rsid w:val="00C01DB6"/>
    <w:rsid w:val="00C02431"/>
    <w:rsid w:val="00C02C21"/>
    <w:rsid w:val="00C02DE5"/>
    <w:rsid w:val="00C03B34"/>
    <w:rsid w:val="00C0413B"/>
    <w:rsid w:val="00C04623"/>
    <w:rsid w:val="00C04A86"/>
    <w:rsid w:val="00C0618B"/>
    <w:rsid w:val="00C063F8"/>
    <w:rsid w:val="00C0672E"/>
    <w:rsid w:val="00C077D7"/>
    <w:rsid w:val="00C07E4B"/>
    <w:rsid w:val="00C102BD"/>
    <w:rsid w:val="00C10814"/>
    <w:rsid w:val="00C10C0E"/>
    <w:rsid w:val="00C10D88"/>
    <w:rsid w:val="00C13073"/>
    <w:rsid w:val="00C15EC6"/>
    <w:rsid w:val="00C16241"/>
    <w:rsid w:val="00C1798D"/>
    <w:rsid w:val="00C21217"/>
    <w:rsid w:val="00C214DC"/>
    <w:rsid w:val="00C21F99"/>
    <w:rsid w:val="00C2340E"/>
    <w:rsid w:val="00C23820"/>
    <w:rsid w:val="00C2423A"/>
    <w:rsid w:val="00C242BB"/>
    <w:rsid w:val="00C25889"/>
    <w:rsid w:val="00C26844"/>
    <w:rsid w:val="00C26A28"/>
    <w:rsid w:val="00C26EB9"/>
    <w:rsid w:val="00C276D7"/>
    <w:rsid w:val="00C304B0"/>
    <w:rsid w:val="00C30BBA"/>
    <w:rsid w:val="00C3268D"/>
    <w:rsid w:val="00C33B8E"/>
    <w:rsid w:val="00C34383"/>
    <w:rsid w:val="00C34AF4"/>
    <w:rsid w:val="00C34BE2"/>
    <w:rsid w:val="00C350A0"/>
    <w:rsid w:val="00C35C19"/>
    <w:rsid w:val="00C35CEC"/>
    <w:rsid w:val="00C37744"/>
    <w:rsid w:val="00C37A04"/>
    <w:rsid w:val="00C4066A"/>
    <w:rsid w:val="00C408D5"/>
    <w:rsid w:val="00C409C2"/>
    <w:rsid w:val="00C417DD"/>
    <w:rsid w:val="00C41AC1"/>
    <w:rsid w:val="00C4202C"/>
    <w:rsid w:val="00C43236"/>
    <w:rsid w:val="00C45245"/>
    <w:rsid w:val="00C45796"/>
    <w:rsid w:val="00C45A08"/>
    <w:rsid w:val="00C468A2"/>
    <w:rsid w:val="00C47D0C"/>
    <w:rsid w:val="00C51891"/>
    <w:rsid w:val="00C51A2F"/>
    <w:rsid w:val="00C51C81"/>
    <w:rsid w:val="00C53690"/>
    <w:rsid w:val="00C5458C"/>
    <w:rsid w:val="00C5464C"/>
    <w:rsid w:val="00C54B94"/>
    <w:rsid w:val="00C551EA"/>
    <w:rsid w:val="00C56E33"/>
    <w:rsid w:val="00C60344"/>
    <w:rsid w:val="00C60546"/>
    <w:rsid w:val="00C60DDD"/>
    <w:rsid w:val="00C62FC7"/>
    <w:rsid w:val="00C63128"/>
    <w:rsid w:val="00C63DFE"/>
    <w:rsid w:val="00C64E22"/>
    <w:rsid w:val="00C65004"/>
    <w:rsid w:val="00C65D20"/>
    <w:rsid w:val="00C66299"/>
    <w:rsid w:val="00C67967"/>
    <w:rsid w:val="00C70242"/>
    <w:rsid w:val="00C70F6D"/>
    <w:rsid w:val="00C71BFE"/>
    <w:rsid w:val="00C72178"/>
    <w:rsid w:val="00C7297E"/>
    <w:rsid w:val="00C7435A"/>
    <w:rsid w:val="00C74DF9"/>
    <w:rsid w:val="00C74EDB"/>
    <w:rsid w:val="00C75B6F"/>
    <w:rsid w:val="00C75D7A"/>
    <w:rsid w:val="00C8000D"/>
    <w:rsid w:val="00C80380"/>
    <w:rsid w:val="00C804E6"/>
    <w:rsid w:val="00C8060D"/>
    <w:rsid w:val="00C80C8C"/>
    <w:rsid w:val="00C8134C"/>
    <w:rsid w:val="00C81A75"/>
    <w:rsid w:val="00C82306"/>
    <w:rsid w:val="00C82DAD"/>
    <w:rsid w:val="00C8365F"/>
    <w:rsid w:val="00C83906"/>
    <w:rsid w:val="00C8429D"/>
    <w:rsid w:val="00C84A69"/>
    <w:rsid w:val="00C85070"/>
    <w:rsid w:val="00C864FB"/>
    <w:rsid w:val="00C87E5C"/>
    <w:rsid w:val="00C90087"/>
    <w:rsid w:val="00C9047E"/>
    <w:rsid w:val="00C90761"/>
    <w:rsid w:val="00C92306"/>
    <w:rsid w:val="00C925D2"/>
    <w:rsid w:val="00C929CF"/>
    <w:rsid w:val="00C93681"/>
    <w:rsid w:val="00C9375D"/>
    <w:rsid w:val="00C93887"/>
    <w:rsid w:val="00C93B3A"/>
    <w:rsid w:val="00C94788"/>
    <w:rsid w:val="00C95F46"/>
    <w:rsid w:val="00C95F6A"/>
    <w:rsid w:val="00CA00CB"/>
    <w:rsid w:val="00CA0166"/>
    <w:rsid w:val="00CA0D3F"/>
    <w:rsid w:val="00CA0DCA"/>
    <w:rsid w:val="00CA1C35"/>
    <w:rsid w:val="00CA1D33"/>
    <w:rsid w:val="00CA40F4"/>
    <w:rsid w:val="00CA6B62"/>
    <w:rsid w:val="00CA6CDA"/>
    <w:rsid w:val="00CB03CC"/>
    <w:rsid w:val="00CB053B"/>
    <w:rsid w:val="00CB08BB"/>
    <w:rsid w:val="00CB0C2D"/>
    <w:rsid w:val="00CB194E"/>
    <w:rsid w:val="00CB23AF"/>
    <w:rsid w:val="00CB2BAA"/>
    <w:rsid w:val="00CB2E56"/>
    <w:rsid w:val="00CB2F14"/>
    <w:rsid w:val="00CB54F7"/>
    <w:rsid w:val="00CB6157"/>
    <w:rsid w:val="00CB76B3"/>
    <w:rsid w:val="00CB7EA6"/>
    <w:rsid w:val="00CB7ED7"/>
    <w:rsid w:val="00CC052A"/>
    <w:rsid w:val="00CC1013"/>
    <w:rsid w:val="00CC14E1"/>
    <w:rsid w:val="00CC1BF3"/>
    <w:rsid w:val="00CC24F6"/>
    <w:rsid w:val="00CC3148"/>
    <w:rsid w:val="00CC3155"/>
    <w:rsid w:val="00CC406C"/>
    <w:rsid w:val="00CC4159"/>
    <w:rsid w:val="00CC492A"/>
    <w:rsid w:val="00CC529D"/>
    <w:rsid w:val="00CC5BB7"/>
    <w:rsid w:val="00CC5E87"/>
    <w:rsid w:val="00CC61BD"/>
    <w:rsid w:val="00CC620D"/>
    <w:rsid w:val="00CC62D1"/>
    <w:rsid w:val="00CC6972"/>
    <w:rsid w:val="00CC6DFA"/>
    <w:rsid w:val="00CC76FC"/>
    <w:rsid w:val="00CC786A"/>
    <w:rsid w:val="00CD04CF"/>
    <w:rsid w:val="00CD07BB"/>
    <w:rsid w:val="00CD11DE"/>
    <w:rsid w:val="00CD1320"/>
    <w:rsid w:val="00CD1521"/>
    <w:rsid w:val="00CD205E"/>
    <w:rsid w:val="00CD2B68"/>
    <w:rsid w:val="00CD32BE"/>
    <w:rsid w:val="00CD584C"/>
    <w:rsid w:val="00CD5F56"/>
    <w:rsid w:val="00CE05B1"/>
    <w:rsid w:val="00CE125F"/>
    <w:rsid w:val="00CE15B5"/>
    <w:rsid w:val="00CE1FA4"/>
    <w:rsid w:val="00CE4412"/>
    <w:rsid w:val="00CE479F"/>
    <w:rsid w:val="00CE5269"/>
    <w:rsid w:val="00CE5DE7"/>
    <w:rsid w:val="00CE610F"/>
    <w:rsid w:val="00CE678A"/>
    <w:rsid w:val="00CE6A31"/>
    <w:rsid w:val="00CF0A5F"/>
    <w:rsid w:val="00CF1CF7"/>
    <w:rsid w:val="00CF2242"/>
    <w:rsid w:val="00CF2F33"/>
    <w:rsid w:val="00CF3229"/>
    <w:rsid w:val="00CF3603"/>
    <w:rsid w:val="00CF43D3"/>
    <w:rsid w:val="00CF46B8"/>
    <w:rsid w:val="00CF4C1D"/>
    <w:rsid w:val="00CF526B"/>
    <w:rsid w:val="00CF58A2"/>
    <w:rsid w:val="00CF5C0A"/>
    <w:rsid w:val="00CF74A2"/>
    <w:rsid w:val="00D009CB"/>
    <w:rsid w:val="00D018CA"/>
    <w:rsid w:val="00D02309"/>
    <w:rsid w:val="00D027A0"/>
    <w:rsid w:val="00D02EEB"/>
    <w:rsid w:val="00D0434A"/>
    <w:rsid w:val="00D0656B"/>
    <w:rsid w:val="00D06FF3"/>
    <w:rsid w:val="00D07C52"/>
    <w:rsid w:val="00D10587"/>
    <w:rsid w:val="00D117F2"/>
    <w:rsid w:val="00D11B6F"/>
    <w:rsid w:val="00D13D96"/>
    <w:rsid w:val="00D1456E"/>
    <w:rsid w:val="00D14572"/>
    <w:rsid w:val="00D150ED"/>
    <w:rsid w:val="00D1631B"/>
    <w:rsid w:val="00D2021B"/>
    <w:rsid w:val="00D20FD9"/>
    <w:rsid w:val="00D2184B"/>
    <w:rsid w:val="00D2190E"/>
    <w:rsid w:val="00D236E0"/>
    <w:rsid w:val="00D24245"/>
    <w:rsid w:val="00D24CBE"/>
    <w:rsid w:val="00D26675"/>
    <w:rsid w:val="00D27800"/>
    <w:rsid w:val="00D2794B"/>
    <w:rsid w:val="00D323BA"/>
    <w:rsid w:val="00D32A93"/>
    <w:rsid w:val="00D32CDA"/>
    <w:rsid w:val="00D32D4D"/>
    <w:rsid w:val="00D32DB9"/>
    <w:rsid w:val="00D337F9"/>
    <w:rsid w:val="00D3648E"/>
    <w:rsid w:val="00D36CB8"/>
    <w:rsid w:val="00D376BC"/>
    <w:rsid w:val="00D37F8F"/>
    <w:rsid w:val="00D412CC"/>
    <w:rsid w:val="00D416DA"/>
    <w:rsid w:val="00D4279C"/>
    <w:rsid w:val="00D42F28"/>
    <w:rsid w:val="00D435D9"/>
    <w:rsid w:val="00D45076"/>
    <w:rsid w:val="00D4702E"/>
    <w:rsid w:val="00D4790E"/>
    <w:rsid w:val="00D47918"/>
    <w:rsid w:val="00D479BC"/>
    <w:rsid w:val="00D509EC"/>
    <w:rsid w:val="00D50C14"/>
    <w:rsid w:val="00D50E69"/>
    <w:rsid w:val="00D51185"/>
    <w:rsid w:val="00D511BD"/>
    <w:rsid w:val="00D51E4C"/>
    <w:rsid w:val="00D5222A"/>
    <w:rsid w:val="00D52FE2"/>
    <w:rsid w:val="00D54C77"/>
    <w:rsid w:val="00D54CCE"/>
    <w:rsid w:val="00D55E16"/>
    <w:rsid w:val="00D55E4B"/>
    <w:rsid w:val="00D560D9"/>
    <w:rsid w:val="00D57938"/>
    <w:rsid w:val="00D60BD7"/>
    <w:rsid w:val="00D634A6"/>
    <w:rsid w:val="00D64977"/>
    <w:rsid w:val="00D64CF8"/>
    <w:rsid w:val="00D6542C"/>
    <w:rsid w:val="00D66D99"/>
    <w:rsid w:val="00D66EAA"/>
    <w:rsid w:val="00D6713E"/>
    <w:rsid w:val="00D678E0"/>
    <w:rsid w:val="00D711F5"/>
    <w:rsid w:val="00D71C94"/>
    <w:rsid w:val="00D72B9F"/>
    <w:rsid w:val="00D72BCE"/>
    <w:rsid w:val="00D73467"/>
    <w:rsid w:val="00D740D3"/>
    <w:rsid w:val="00D74C44"/>
    <w:rsid w:val="00D75232"/>
    <w:rsid w:val="00D75D0C"/>
    <w:rsid w:val="00D7603F"/>
    <w:rsid w:val="00D762C2"/>
    <w:rsid w:val="00D76E98"/>
    <w:rsid w:val="00D770A2"/>
    <w:rsid w:val="00D77C88"/>
    <w:rsid w:val="00D8019E"/>
    <w:rsid w:val="00D83460"/>
    <w:rsid w:val="00D8365D"/>
    <w:rsid w:val="00D83E03"/>
    <w:rsid w:val="00D83E92"/>
    <w:rsid w:val="00D8408A"/>
    <w:rsid w:val="00D845ED"/>
    <w:rsid w:val="00D85299"/>
    <w:rsid w:val="00D8682A"/>
    <w:rsid w:val="00D873A3"/>
    <w:rsid w:val="00D8762A"/>
    <w:rsid w:val="00D87A26"/>
    <w:rsid w:val="00D87A2D"/>
    <w:rsid w:val="00D910C0"/>
    <w:rsid w:val="00D91778"/>
    <w:rsid w:val="00D91A8A"/>
    <w:rsid w:val="00D91AF2"/>
    <w:rsid w:val="00D93650"/>
    <w:rsid w:val="00D9626B"/>
    <w:rsid w:val="00D96476"/>
    <w:rsid w:val="00DA341E"/>
    <w:rsid w:val="00DA400B"/>
    <w:rsid w:val="00DA59F7"/>
    <w:rsid w:val="00DB0E75"/>
    <w:rsid w:val="00DB1DB0"/>
    <w:rsid w:val="00DB650A"/>
    <w:rsid w:val="00DB6634"/>
    <w:rsid w:val="00DB69F1"/>
    <w:rsid w:val="00DB74B2"/>
    <w:rsid w:val="00DB780D"/>
    <w:rsid w:val="00DB7F64"/>
    <w:rsid w:val="00DC0A80"/>
    <w:rsid w:val="00DC1230"/>
    <w:rsid w:val="00DC287A"/>
    <w:rsid w:val="00DC2C10"/>
    <w:rsid w:val="00DC2DEC"/>
    <w:rsid w:val="00DC4769"/>
    <w:rsid w:val="00DC678D"/>
    <w:rsid w:val="00DC69F7"/>
    <w:rsid w:val="00DD086F"/>
    <w:rsid w:val="00DD08ED"/>
    <w:rsid w:val="00DD1BDA"/>
    <w:rsid w:val="00DD2340"/>
    <w:rsid w:val="00DD2D89"/>
    <w:rsid w:val="00DD378C"/>
    <w:rsid w:val="00DD3936"/>
    <w:rsid w:val="00DD4480"/>
    <w:rsid w:val="00DD4638"/>
    <w:rsid w:val="00DD513A"/>
    <w:rsid w:val="00DD5694"/>
    <w:rsid w:val="00DD5865"/>
    <w:rsid w:val="00DD63A7"/>
    <w:rsid w:val="00DD6521"/>
    <w:rsid w:val="00DD7228"/>
    <w:rsid w:val="00DD7889"/>
    <w:rsid w:val="00DE007B"/>
    <w:rsid w:val="00DE00AA"/>
    <w:rsid w:val="00DE05DC"/>
    <w:rsid w:val="00DE3C3D"/>
    <w:rsid w:val="00DE619E"/>
    <w:rsid w:val="00DE692B"/>
    <w:rsid w:val="00DF0836"/>
    <w:rsid w:val="00DF1799"/>
    <w:rsid w:val="00DF18D3"/>
    <w:rsid w:val="00DF1CBA"/>
    <w:rsid w:val="00DF398E"/>
    <w:rsid w:val="00DF3A6C"/>
    <w:rsid w:val="00DF5244"/>
    <w:rsid w:val="00DF572A"/>
    <w:rsid w:val="00DF5CDC"/>
    <w:rsid w:val="00DF5DAE"/>
    <w:rsid w:val="00DF70A6"/>
    <w:rsid w:val="00DF73FA"/>
    <w:rsid w:val="00DF7E6F"/>
    <w:rsid w:val="00DF7FCD"/>
    <w:rsid w:val="00E02810"/>
    <w:rsid w:val="00E02AC4"/>
    <w:rsid w:val="00E03E44"/>
    <w:rsid w:val="00E03F3C"/>
    <w:rsid w:val="00E05B2B"/>
    <w:rsid w:val="00E0709D"/>
    <w:rsid w:val="00E07A7A"/>
    <w:rsid w:val="00E1139F"/>
    <w:rsid w:val="00E118C9"/>
    <w:rsid w:val="00E12AD7"/>
    <w:rsid w:val="00E12CA1"/>
    <w:rsid w:val="00E143CD"/>
    <w:rsid w:val="00E146EB"/>
    <w:rsid w:val="00E15E01"/>
    <w:rsid w:val="00E1650A"/>
    <w:rsid w:val="00E16C2D"/>
    <w:rsid w:val="00E16E49"/>
    <w:rsid w:val="00E16FD1"/>
    <w:rsid w:val="00E2010A"/>
    <w:rsid w:val="00E20910"/>
    <w:rsid w:val="00E21501"/>
    <w:rsid w:val="00E22BA4"/>
    <w:rsid w:val="00E22E12"/>
    <w:rsid w:val="00E23DBD"/>
    <w:rsid w:val="00E24467"/>
    <w:rsid w:val="00E25755"/>
    <w:rsid w:val="00E258EF"/>
    <w:rsid w:val="00E25E2A"/>
    <w:rsid w:val="00E2765C"/>
    <w:rsid w:val="00E27F53"/>
    <w:rsid w:val="00E302F6"/>
    <w:rsid w:val="00E309A0"/>
    <w:rsid w:val="00E32780"/>
    <w:rsid w:val="00E329EE"/>
    <w:rsid w:val="00E32EB4"/>
    <w:rsid w:val="00E34617"/>
    <w:rsid w:val="00E348D6"/>
    <w:rsid w:val="00E34ABC"/>
    <w:rsid w:val="00E35C62"/>
    <w:rsid w:val="00E35C6F"/>
    <w:rsid w:val="00E361D6"/>
    <w:rsid w:val="00E3714D"/>
    <w:rsid w:val="00E40323"/>
    <w:rsid w:val="00E409B3"/>
    <w:rsid w:val="00E40C83"/>
    <w:rsid w:val="00E40ECB"/>
    <w:rsid w:val="00E41932"/>
    <w:rsid w:val="00E426CB"/>
    <w:rsid w:val="00E42DC1"/>
    <w:rsid w:val="00E433B4"/>
    <w:rsid w:val="00E43DDC"/>
    <w:rsid w:val="00E446D6"/>
    <w:rsid w:val="00E44A5B"/>
    <w:rsid w:val="00E45991"/>
    <w:rsid w:val="00E45D94"/>
    <w:rsid w:val="00E46149"/>
    <w:rsid w:val="00E4669F"/>
    <w:rsid w:val="00E51635"/>
    <w:rsid w:val="00E5209B"/>
    <w:rsid w:val="00E52F66"/>
    <w:rsid w:val="00E53310"/>
    <w:rsid w:val="00E539F9"/>
    <w:rsid w:val="00E53CA3"/>
    <w:rsid w:val="00E54E0C"/>
    <w:rsid w:val="00E558E6"/>
    <w:rsid w:val="00E559FB"/>
    <w:rsid w:val="00E55DAE"/>
    <w:rsid w:val="00E569E6"/>
    <w:rsid w:val="00E570AD"/>
    <w:rsid w:val="00E57979"/>
    <w:rsid w:val="00E57C37"/>
    <w:rsid w:val="00E57D0B"/>
    <w:rsid w:val="00E616DE"/>
    <w:rsid w:val="00E61A4E"/>
    <w:rsid w:val="00E64D62"/>
    <w:rsid w:val="00E64D69"/>
    <w:rsid w:val="00E64D7F"/>
    <w:rsid w:val="00E6538D"/>
    <w:rsid w:val="00E6581A"/>
    <w:rsid w:val="00E65828"/>
    <w:rsid w:val="00E65B82"/>
    <w:rsid w:val="00E66AD5"/>
    <w:rsid w:val="00E670DB"/>
    <w:rsid w:val="00E675E2"/>
    <w:rsid w:val="00E67C44"/>
    <w:rsid w:val="00E67C8F"/>
    <w:rsid w:val="00E70644"/>
    <w:rsid w:val="00E70966"/>
    <w:rsid w:val="00E70C00"/>
    <w:rsid w:val="00E70FC0"/>
    <w:rsid w:val="00E71794"/>
    <w:rsid w:val="00E71D9A"/>
    <w:rsid w:val="00E723E6"/>
    <w:rsid w:val="00E743C7"/>
    <w:rsid w:val="00E74414"/>
    <w:rsid w:val="00E74695"/>
    <w:rsid w:val="00E76D37"/>
    <w:rsid w:val="00E80638"/>
    <w:rsid w:val="00E80D33"/>
    <w:rsid w:val="00E817FB"/>
    <w:rsid w:val="00E8513C"/>
    <w:rsid w:val="00E85500"/>
    <w:rsid w:val="00E85979"/>
    <w:rsid w:val="00E85A03"/>
    <w:rsid w:val="00E86778"/>
    <w:rsid w:val="00E869D1"/>
    <w:rsid w:val="00E86A0E"/>
    <w:rsid w:val="00E90BBE"/>
    <w:rsid w:val="00E91F71"/>
    <w:rsid w:val="00E921DA"/>
    <w:rsid w:val="00E929BE"/>
    <w:rsid w:val="00E92DE8"/>
    <w:rsid w:val="00E932B9"/>
    <w:rsid w:val="00E939AF"/>
    <w:rsid w:val="00E94051"/>
    <w:rsid w:val="00E9458C"/>
    <w:rsid w:val="00E94A89"/>
    <w:rsid w:val="00E95270"/>
    <w:rsid w:val="00E95406"/>
    <w:rsid w:val="00E955E8"/>
    <w:rsid w:val="00E95ECB"/>
    <w:rsid w:val="00E96B62"/>
    <w:rsid w:val="00E97034"/>
    <w:rsid w:val="00EA079B"/>
    <w:rsid w:val="00EA0B3D"/>
    <w:rsid w:val="00EA0DDD"/>
    <w:rsid w:val="00EA1CA0"/>
    <w:rsid w:val="00EA44CB"/>
    <w:rsid w:val="00EA4E73"/>
    <w:rsid w:val="00EA5454"/>
    <w:rsid w:val="00EA56E8"/>
    <w:rsid w:val="00EA5AC6"/>
    <w:rsid w:val="00EA5FBB"/>
    <w:rsid w:val="00EA6AA1"/>
    <w:rsid w:val="00EA7411"/>
    <w:rsid w:val="00EB001B"/>
    <w:rsid w:val="00EB052E"/>
    <w:rsid w:val="00EB05F7"/>
    <w:rsid w:val="00EB0C8E"/>
    <w:rsid w:val="00EB196B"/>
    <w:rsid w:val="00EB2768"/>
    <w:rsid w:val="00EB2AEB"/>
    <w:rsid w:val="00EB2FFD"/>
    <w:rsid w:val="00EB34F4"/>
    <w:rsid w:val="00EB3FA0"/>
    <w:rsid w:val="00EB4513"/>
    <w:rsid w:val="00EB5418"/>
    <w:rsid w:val="00EB5854"/>
    <w:rsid w:val="00EB6D74"/>
    <w:rsid w:val="00EB70AB"/>
    <w:rsid w:val="00EB7AB6"/>
    <w:rsid w:val="00EC02CD"/>
    <w:rsid w:val="00EC30A5"/>
    <w:rsid w:val="00EC35E2"/>
    <w:rsid w:val="00EC3C0D"/>
    <w:rsid w:val="00EC492A"/>
    <w:rsid w:val="00EC7209"/>
    <w:rsid w:val="00EC7348"/>
    <w:rsid w:val="00ED05AA"/>
    <w:rsid w:val="00ED0B13"/>
    <w:rsid w:val="00ED2796"/>
    <w:rsid w:val="00ED3621"/>
    <w:rsid w:val="00ED384A"/>
    <w:rsid w:val="00ED3ADE"/>
    <w:rsid w:val="00ED4072"/>
    <w:rsid w:val="00ED4F8D"/>
    <w:rsid w:val="00ED5646"/>
    <w:rsid w:val="00ED65B7"/>
    <w:rsid w:val="00ED6AD6"/>
    <w:rsid w:val="00ED7743"/>
    <w:rsid w:val="00ED7AEF"/>
    <w:rsid w:val="00ED7E11"/>
    <w:rsid w:val="00EE060A"/>
    <w:rsid w:val="00EE11E7"/>
    <w:rsid w:val="00EE15B9"/>
    <w:rsid w:val="00EE2034"/>
    <w:rsid w:val="00EE21F8"/>
    <w:rsid w:val="00EE383D"/>
    <w:rsid w:val="00EE3D35"/>
    <w:rsid w:val="00EE5833"/>
    <w:rsid w:val="00EE5872"/>
    <w:rsid w:val="00EE5D4D"/>
    <w:rsid w:val="00EE6512"/>
    <w:rsid w:val="00EE7AC4"/>
    <w:rsid w:val="00EF00E0"/>
    <w:rsid w:val="00EF185F"/>
    <w:rsid w:val="00EF1D4D"/>
    <w:rsid w:val="00EF2321"/>
    <w:rsid w:val="00EF37BD"/>
    <w:rsid w:val="00EF3BD9"/>
    <w:rsid w:val="00EF41D7"/>
    <w:rsid w:val="00EF4894"/>
    <w:rsid w:val="00EF56F0"/>
    <w:rsid w:val="00EF574F"/>
    <w:rsid w:val="00EF5A7F"/>
    <w:rsid w:val="00EF62AB"/>
    <w:rsid w:val="00EF7278"/>
    <w:rsid w:val="00EF790C"/>
    <w:rsid w:val="00EF7F8B"/>
    <w:rsid w:val="00F008A3"/>
    <w:rsid w:val="00F01413"/>
    <w:rsid w:val="00F0277B"/>
    <w:rsid w:val="00F02786"/>
    <w:rsid w:val="00F02C71"/>
    <w:rsid w:val="00F03363"/>
    <w:rsid w:val="00F04DFF"/>
    <w:rsid w:val="00F06816"/>
    <w:rsid w:val="00F06A2D"/>
    <w:rsid w:val="00F07041"/>
    <w:rsid w:val="00F070C6"/>
    <w:rsid w:val="00F07F52"/>
    <w:rsid w:val="00F100A5"/>
    <w:rsid w:val="00F104B1"/>
    <w:rsid w:val="00F10B3F"/>
    <w:rsid w:val="00F10ECF"/>
    <w:rsid w:val="00F112F6"/>
    <w:rsid w:val="00F11E12"/>
    <w:rsid w:val="00F120DB"/>
    <w:rsid w:val="00F12907"/>
    <w:rsid w:val="00F12EEF"/>
    <w:rsid w:val="00F13D80"/>
    <w:rsid w:val="00F143A6"/>
    <w:rsid w:val="00F14F3E"/>
    <w:rsid w:val="00F154BE"/>
    <w:rsid w:val="00F1586F"/>
    <w:rsid w:val="00F20CDF"/>
    <w:rsid w:val="00F215A4"/>
    <w:rsid w:val="00F23343"/>
    <w:rsid w:val="00F2401A"/>
    <w:rsid w:val="00F274DF"/>
    <w:rsid w:val="00F2787E"/>
    <w:rsid w:val="00F30725"/>
    <w:rsid w:val="00F32452"/>
    <w:rsid w:val="00F330AB"/>
    <w:rsid w:val="00F3371E"/>
    <w:rsid w:val="00F3485D"/>
    <w:rsid w:val="00F34FD6"/>
    <w:rsid w:val="00F351B6"/>
    <w:rsid w:val="00F35313"/>
    <w:rsid w:val="00F36315"/>
    <w:rsid w:val="00F36AD9"/>
    <w:rsid w:val="00F37508"/>
    <w:rsid w:val="00F37BB6"/>
    <w:rsid w:val="00F40127"/>
    <w:rsid w:val="00F4059B"/>
    <w:rsid w:val="00F40CAC"/>
    <w:rsid w:val="00F40D54"/>
    <w:rsid w:val="00F42621"/>
    <w:rsid w:val="00F42C0F"/>
    <w:rsid w:val="00F42F21"/>
    <w:rsid w:val="00F42F42"/>
    <w:rsid w:val="00F43E1C"/>
    <w:rsid w:val="00F44A0A"/>
    <w:rsid w:val="00F46131"/>
    <w:rsid w:val="00F46585"/>
    <w:rsid w:val="00F4676B"/>
    <w:rsid w:val="00F46A76"/>
    <w:rsid w:val="00F46D78"/>
    <w:rsid w:val="00F50EE4"/>
    <w:rsid w:val="00F51D0B"/>
    <w:rsid w:val="00F53666"/>
    <w:rsid w:val="00F557E7"/>
    <w:rsid w:val="00F55AC7"/>
    <w:rsid w:val="00F55F90"/>
    <w:rsid w:val="00F60048"/>
    <w:rsid w:val="00F60653"/>
    <w:rsid w:val="00F60DD8"/>
    <w:rsid w:val="00F6249E"/>
    <w:rsid w:val="00F6459E"/>
    <w:rsid w:val="00F6511A"/>
    <w:rsid w:val="00F65342"/>
    <w:rsid w:val="00F65BA8"/>
    <w:rsid w:val="00F65CEB"/>
    <w:rsid w:val="00F662FA"/>
    <w:rsid w:val="00F6668C"/>
    <w:rsid w:val="00F66A3A"/>
    <w:rsid w:val="00F66AD5"/>
    <w:rsid w:val="00F66D95"/>
    <w:rsid w:val="00F670B5"/>
    <w:rsid w:val="00F67C17"/>
    <w:rsid w:val="00F67E84"/>
    <w:rsid w:val="00F70F9D"/>
    <w:rsid w:val="00F72263"/>
    <w:rsid w:val="00F72531"/>
    <w:rsid w:val="00F72A91"/>
    <w:rsid w:val="00F73544"/>
    <w:rsid w:val="00F74CBD"/>
    <w:rsid w:val="00F74F61"/>
    <w:rsid w:val="00F75A48"/>
    <w:rsid w:val="00F7649D"/>
    <w:rsid w:val="00F76D29"/>
    <w:rsid w:val="00F77EFC"/>
    <w:rsid w:val="00F80A79"/>
    <w:rsid w:val="00F80C6E"/>
    <w:rsid w:val="00F81E42"/>
    <w:rsid w:val="00F821D1"/>
    <w:rsid w:val="00F823F5"/>
    <w:rsid w:val="00F827E8"/>
    <w:rsid w:val="00F83271"/>
    <w:rsid w:val="00F83437"/>
    <w:rsid w:val="00F8483C"/>
    <w:rsid w:val="00F84C44"/>
    <w:rsid w:val="00F84DA1"/>
    <w:rsid w:val="00F851EB"/>
    <w:rsid w:val="00F86A47"/>
    <w:rsid w:val="00F86C8E"/>
    <w:rsid w:val="00F8755D"/>
    <w:rsid w:val="00F91C45"/>
    <w:rsid w:val="00F9231C"/>
    <w:rsid w:val="00F92850"/>
    <w:rsid w:val="00F93662"/>
    <w:rsid w:val="00F936E9"/>
    <w:rsid w:val="00F93A8C"/>
    <w:rsid w:val="00F93F27"/>
    <w:rsid w:val="00F95D7D"/>
    <w:rsid w:val="00F9604F"/>
    <w:rsid w:val="00F974D6"/>
    <w:rsid w:val="00F97DC4"/>
    <w:rsid w:val="00FA0BF3"/>
    <w:rsid w:val="00FA1179"/>
    <w:rsid w:val="00FA1E84"/>
    <w:rsid w:val="00FA202B"/>
    <w:rsid w:val="00FA22E5"/>
    <w:rsid w:val="00FA27BD"/>
    <w:rsid w:val="00FA46F7"/>
    <w:rsid w:val="00FA4FA4"/>
    <w:rsid w:val="00FA57CA"/>
    <w:rsid w:val="00FA6003"/>
    <w:rsid w:val="00FA60A8"/>
    <w:rsid w:val="00FA73A3"/>
    <w:rsid w:val="00FA7570"/>
    <w:rsid w:val="00FA7CB0"/>
    <w:rsid w:val="00FA7D3C"/>
    <w:rsid w:val="00FB033B"/>
    <w:rsid w:val="00FB13F1"/>
    <w:rsid w:val="00FB2354"/>
    <w:rsid w:val="00FB44CA"/>
    <w:rsid w:val="00FB4AFA"/>
    <w:rsid w:val="00FB523B"/>
    <w:rsid w:val="00FB6850"/>
    <w:rsid w:val="00FB7FD0"/>
    <w:rsid w:val="00FC0F99"/>
    <w:rsid w:val="00FC118D"/>
    <w:rsid w:val="00FC1D05"/>
    <w:rsid w:val="00FC1E7A"/>
    <w:rsid w:val="00FC2D22"/>
    <w:rsid w:val="00FC2D29"/>
    <w:rsid w:val="00FC33E3"/>
    <w:rsid w:val="00FC3960"/>
    <w:rsid w:val="00FC4286"/>
    <w:rsid w:val="00FC5480"/>
    <w:rsid w:val="00FC63AA"/>
    <w:rsid w:val="00FC6D4B"/>
    <w:rsid w:val="00FC7A24"/>
    <w:rsid w:val="00FD09E5"/>
    <w:rsid w:val="00FD181B"/>
    <w:rsid w:val="00FD3F2E"/>
    <w:rsid w:val="00FD43C4"/>
    <w:rsid w:val="00FD4913"/>
    <w:rsid w:val="00FD4D94"/>
    <w:rsid w:val="00FD581F"/>
    <w:rsid w:val="00FD663D"/>
    <w:rsid w:val="00FD6707"/>
    <w:rsid w:val="00FD6D35"/>
    <w:rsid w:val="00FE0A99"/>
    <w:rsid w:val="00FE0F06"/>
    <w:rsid w:val="00FE153F"/>
    <w:rsid w:val="00FE1901"/>
    <w:rsid w:val="00FE2433"/>
    <w:rsid w:val="00FE3F6B"/>
    <w:rsid w:val="00FE431C"/>
    <w:rsid w:val="00FE57B8"/>
    <w:rsid w:val="00FE5A3C"/>
    <w:rsid w:val="00FE720E"/>
    <w:rsid w:val="00FE75BD"/>
    <w:rsid w:val="00FE7AF8"/>
    <w:rsid w:val="00FE7B05"/>
    <w:rsid w:val="00FF002C"/>
    <w:rsid w:val="00FF0290"/>
    <w:rsid w:val="00FF0707"/>
    <w:rsid w:val="00FF0CB3"/>
    <w:rsid w:val="00FF459F"/>
    <w:rsid w:val="00FF48C8"/>
    <w:rsid w:val="00FF4EDE"/>
    <w:rsid w:val="00FF5854"/>
    <w:rsid w:val="00FF5FC5"/>
    <w:rsid w:val="00FF66D6"/>
    <w:rsid w:val="00FF6AA6"/>
    <w:rsid w:val="00FF7176"/>
    <w:rsid w:val="0C6BCF40"/>
    <w:rsid w:val="122203A0"/>
    <w:rsid w:val="206CB1B5"/>
    <w:rsid w:val="29650419"/>
    <w:rsid w:val="2A96E5F3"/>
    <w:rsid w:val="2C8F6CD3"/>
    <w:rsid w:val="2D1D8A19"/>
    <w:rsid w:val="32A123F6"/>
    <w:rsid w:val="37A75922"/>
    <w:rsid w:val="3D12B55C"/>
    <w:rsid w:val="42044064"/>
    <w:rsid w:val="48FFB20F"/>
    <w:rsid w:val="4C2CB96A"/>
    <w:rsid w:val="503C1499"/>
    <w:rsid w:val="5DD27DF4"/>
    <w:rsid w:val="64D81DF9"/>
    <w:rsid w:val="6E27109F"/>
    <w:rsid w:val="702EA1CB"/>
    <w:rsid w:val="7E5633A7"/>
    <w:rsid w:val="7F566C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49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707"/>
    <w:pPr>
      <w:spacing w:after="0" w:line="240" w:lineRule="auto"/>
    </w:pPr>
  </w:style>
  <w:style w:type="paragraph" w:styleId="ListParagraph">
    <w:name w:val="List Paragraph"/>
    <w:basedOn w:val="Normal"/>
    <w:uiPriority w:val="34"/>
    <w:qFormat/>
    <w:rsid w:val="00FF0707"/>
    <w:pPr>
      <w:ind w:left="720"/>
      <w:contextualSpacing/>
    </w:pPr>
  </w:style>
  <w:style w:type="character" w:styleId="CommentReference">
    <w:name w:val="annotation reference"/>
    <w:basedOn w:val="DefaultParagraphFont"/>
    <w:uiPriority w:val="99"/>
    <w:semiHidden/>
    <w:unhideWhenUsed/>
    <w:rsid w:val="00092AC7"/>
    <w:rPr>
      <w:sz w:val="16"/>
      <w:szCs w:val="16"/>
    </w:rPr>
  </w:style>
  <w:style w:type="paragraph" w:styleId="CommentText">
    <w:name w:val="annotation text"/>
    <w:basedOn w:val="Normal"/>
    <w:link w:val="CommentTextChar"/>
    <w:uiPriority w:val="99"/>
    <w:unhideWhenUsed/>
    <w:rsid w:val="00092AC7"/>
    <w:pPr>
      <w:spacing w:line="240" w:lineRule="auto"/>
    </w:pPr>
    <w:rPr>
      <w:sz w:val="20"/>
      <w:szCs w:val="20"/>
    </w:rPr>
  </w:style>
  <w:style w:type="character" w:customStyle="1" w:styleId="CommentTextChar">
    <w:name w:val="Comment Text Char"/>
    <w:basedOn w:val="DefaultParagraphFont"/>
    <w:link w:val="CommentText"/>
    <w:uiPriority w:val="99"/>
    <w:rsid w:val="00092AC7"/>
    <w:rPr>
      <w:sz w:val="20"/>
      <w:szCs w:val="20"/>
    </w:rPr>
  </w:style>
  <w:style w:type="paragraph" w:styleId="CommentSubject">
    <w:name w:val="annotation subject"/>
    <w:basedOn w:val="CommentText"/>
    <w:next w:val="CommentText"/>
    <w:link w:val="CommentSubjectChar"/>
    <w:uiPriority w:val="99"/>
    <w:semiHidden/>
    <w:unhideWhenUsed/>
    <w:rsid w:val="00092AC7"/>
    <w:rPr>
      <w:b/>
      <w:bCs/>
    </w:rPr>
  </w:style>
  <w:style w:type="character" w:customStyle="1" w:styleId="CommentSubjectChar">
    <w:name w:val="Comment Subject Char"/>
    <w:basedOn w:val="CommentTextChar"/>
    <w:link w:val="CommentSubject"/>
    <w:uiPriority w:val="99"/>
    <w:semiHidden/>
    <w:rsid w:val="00092AC7"/>
    <w:rPr>
      <w:b/>
      <w:bCs/>
      <w:sz w:val="20"/>
      <w:szCs w:val="20"/>
    </w:rPr>
  </w:style>
  <w:style w:type="paragraph" w:styleId="Header">
    <w:name w:val="header"/>
    <w:basedOn w:val="Normal"/>
    <w:link w:val="HeaderChar"/>
    <w:uiPriority w:val="99"/>
    <w:unhideWhenUsed/>
    <w:rsid w:val="00DF5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244"/>
  </w:style>
  <w:style w:type="paragraph" w:styleId="Footer">
    <w:name w:val="footer"/>
    <w:basedOn w:val="Normal"/>
    <w:link w:val="FooterChar"/>
    <w:uiPriority w:val="99"/>
    <w:unhideWhenUsed/>
    <w:rsid w:val="00DF5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244"/>
  </w:style>
  <w:style w:type="paragraph" w:styleId="Revision">
    <w:name w:val="Revision"/>
    <w:hidden/>
    <w:uiPriority w:val="99"/>
    <w:semiHidden/>
    <w:rsid w:val="00C7297E"/>
    <w:pPr>
      <w:spacing w:after="0" w:line="240" w:lineRule="auto"/>
    </w:pPr>
  </w:style>
  <w:style w:type="paragraph" w:styleId="FootnoteText">
    <w:name w:val="footnote text"/>
    <w:basedOn w:val="Normal"/>
    <w:link w:val="FootnoteTextChar"/>
    <w:uiPriority w:val="99"/>
    <w:semiHidden/>
    <w:unhideWhenUsed/>
    <w:rsid w:val="000C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9B5"/>
    <w:rPr>
      <w:sz w:val="20"/>
      <w:szCs w:val="20"/>
    </w:rPr>
  </w:style>
  <w:style w:type="character" w:styleId="FootnoteReference">
    <w:name w:val="footnote reference"/>
    <w:basedOn w:val="DefaultParagraphFont"/>
    <w:uiPriority w:val="99"/>
    <w:semiHidden/>
    <w:unhideWhenUsed/>
    <w:rsid w:val="000C49B5"/>
    <w:rPr>
      <w:vertAlign w:val="superscript"/>
    </w:rPr>
  </w:style>
  <w:style w:type="character" w:styleId="Hyperlink">
    <w:name w:val="Hyperlink"/>
    <w:basedOn w:val="DefaultParagraphFont"/>
    <w:uiPriority w:val="99"/>
    <w:unhideWhenUsed/>
    <w:rsid w:val="00FF5854"/>
    <w:rPr>
      <w:color w:val="0563C1" w:themeColor="hyperlink"/>
      <w:u w:val="single"/>
    </w:rPr>
  </w:style>
  <w:style w:type="character" w:styleId="UnresolvedMention">
    <w:name w:val="Unresolved Mention"/>
    <w:basedOn w:val="DefaultParagraphFont"/>
    <w:uiPriority w:val="99"/>
    <w:unhideWhenUsed/>
    <w:rsid w:val="00FF5854"/>
    <w:rPr>
      <w:color w:val="605E5C"/>
      <w:shd w:val="clear" w:color="auto" w:fill="E1DFDD"/>
    </w:rPr>
  </w:style>
  <w:style w:type="paragraph" w:customStyle="1" w:styleId="paragraph">
    <w:name w:val="paragraph"/>
    <w:basedOn w:val="Normal"/>
    <w:rsid w:val="00900E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0EFA"/>
  </w:style>
  <w:style w:type="character" w:customStyle="1" w:styleId="eop">
    <w:name w:val="eop"/>
    <w:basedOn w:val="DefaultParagraphFont"/>
    <w:rsid w:val="00900EFA"/>
  </w:style>
  <w:style w:type="character" w:customStyle="1" w:styleId="advancedproofingissue">
    <w:name w:val="advancedproofingissue"/>
    <w:basedOn w:val="DefaultParagraphFont"/>
    <w:rsid w:val="00900EFA"/>
  </w:style>
  <w:style w:type="character" w:customStyle="1" w:styleId="spellingerror">
    <w:name w:val="spellingerror"/>
    <w:basedOn w:val="DefaultParagraphFont"/>
    <w:rsid w:val="00900EFA"/>
  </w:style>
  <w:style w:type="character" w:customStyle="1" w:styleId="contextualspellingandgrammarerror">
    <w:name w:val="contextualspellingandgrammarerror"/>
    <w:basedOn w:val="DefaultParagraphFont"/>
    <w:rsid w:val="00900EFA"/>
  </w:style>
  <w:style w:type="paragraph" w:customStyle="1" w:styleId="1221">
    <w:name w:val="122.1"/>
    <w:basedOn w:val="Normal"/>
    <w:link w:val="1221Char"/>
    <w:qFormat/>
    <w:rsid w:val="003A628F"/>
    <w:pPr>
      <w:tabs>
        <w:tab w:val="left" w:pos="432"/>
      </w:tabs>
      <w:spacing w:before="40" w:after="0" w:line="240" w:lineRule="auto"/>
      <w:ind w:left="-144" w:hanging="432"/>
    </w:pPr>
    <w:rPr>
      <w:b/>
      <w:sz w:val="24"/>
    </w:rPr>
  </w:style>
  <w:style w:type="character" w:customStyle="1" w:styleId="1221Char">
    <w:name w:val="122.1 Char"/>
    <w:basedOn w:val="DefaultParagraphFont"/>
    <w:link w:val="1221"/>
    <w:rsid w:val="003A628F"/>
    <w:rPr>
      <w:b/>
      <w:sz w:val="24"/>
    </w:rPr>
  </w:style>
  <w:style w:type="paragraph" w:customStyle="1" w:styleId="1221a">
    <w:name w:val="122.1(a)"/>
    <w:basedOn w:val="Normal"/>
    <w:link w:val="1221aChar"/>
    <w:qFormat/>
    <w:rsid w:val="003A628F"/>
    <w:pPr>
      <w:tabs>
        <w:tab w:val="left" w:pos="432"/>
      </w:tabs>
      <w:spacing w:before="20" w:after="0" w:line="240" w:lineRule="auto"/>
      <w:ind w:left="144" w:hanging="432"/>
    </w:pPr>
    <w:rPr>
      <w:sz w:val="24"/>
    </w:rPr>
  </w:style>
  <w:style w:type="character" w:customStyle="1" w:styleId="1221aChar">
    <w:name w:val="122.1(a) Char"/>
    <w:basedOn w:val="DefaultParagraphFont"/>
    <w:link w:val="1221a"/>
    <w:rsid w:val="003A628F"/>
    <w:rPr>
      <w:sz w:val="24"/>
    </w:rPr>
  </w:style>
  <w:style w:type="paragraph" w:customStyle="1" w:styleId="1Part">
    <w:name w:val="1. Part"/>
    <w:aliases w:val="Subpart"/>
    <w:basedOn w:val="Normal"/>
    <w:link w:val="1PartChar"/>
    <w:qFormat/>
    <w:rsid w:val="003A628F"/>
    <w:pPr>
      <w:tabs>
        <w:tab w:val="left" w:pos="432"/>
      </w:tabs>
      <w:spacing w:before="80" w:after="0" w:line="240" w:lineRule="auto"/>
      <w:ind w:left="-432" w:hanging="432"/>
    </w:pPr>
    <w:rPr>
      <w:b/>
      <w:color w:val="C00000"/>
      <w:sz w:val="28"/>
    </w:rPr>
  </w:style>
  <w:style w:type="character" w:customStyle="1" w:styleId="1PartChar">
    <w:name w:val="1. Part Char"/>
    <w:aliases w:val="Subpart Char"/>
    <w:basedOn w:val="DefaultParagraphFont"/>
    <w:link w:val="1Part"/>
    <w:rsid w:val="003A628F"/>
    <w:rPr>
      <w:b/>
      <w:color w:val="C00000"/>
      <w:sz w:val="28"/>
    </w:rPr>
  </w:style>
  <w:style w:type="paragraph" w:customStyle="1" w:styleId="1221a1">
    <w:name w:val="122.1(a)(1)"/>
    <w:basedOn w:val="1221a"/>
    <w:link w:val="1221a1Char"/>
    <w:qFormat/>
    <w:rsid w:val="0040254B"/>
    <w:pPr>
      <w:ind w:left="432"/>
    </w:pPr>
  </w:style>
  <w:style w:type="character" w:customStyle="1" w:styleId="1221a1Char">
    <w:name w:val="122.1(a)(1) Char"/>
    <w:basedOn w:val="1221aChar"/>
    <w:link w:val="1221a1"/>
    <w:rsid w:val="0040254B"/>
    <w:rPr>
      <w:sz w:val="24"/>
    </w:rPr>
  </w:style>
  <w:style w:type="paragraph" w:customStyle="1" w:styleId="1221a1i">
    <w:name w:val="122.1(a)(1)(i)"/>
    <w:basedOn w:val="1221a1"/>
    <w:qFormat/>
    <w:rsid w:val="0040254B"/>
    <w:pPr>
      <w:ind w:left="720"/>
    </w:pPr>
    <w:rPr>
      <w:sz w:val="20"/>
    </w:rPr>
  </w:style>
  <w:style w:type="character" w:styleId="FollowedHyperlink">
    <w:name w:val="FollowedHyperlink"/>
    <w:basedOn w:val="DefaultParagraphFont"/>
    <w:uiPriority w:val="99"/>
    <w:semiHidden/>
    <w:unhideWhenUsed/>
    <w:rsid w:val="00964476"/>
    <w:rPr>
      <w:color w:val="954F72" w:themeColor="followedHyperlink"/>
      <w:u w:val="single"/>
    </w:rPr>
  </w:style>
  <w:style w:type="paragraph" w:customStyle="1" w:styleId="1221a1iA">
    <w:name w:val="122.1(a)(1)(i)(A)"/>
    <w:basedOn w:val="1221a1i"/>
    <w:qFormat/>
    <w:rsid w:val="00FB6850"/>
    <w:pPr>
      <w:ind w:left="1008"/>
    </w:pPr>
    <w:rPr>
      <w:sz w:val="18"/>
    </w:rPr>
  </w:style>
  <w:style w:type="character" w:styleId="Mention">
    <w:name w:val="Mention"/>
    <w:basedOn w:val="DefaultParagraphFont"/>
    <w:uiPriority w:val="99"/>
    <w:unhideWhenUsed/>
    <w:rsid w:val="00AC6A15"/>
    <w:rPr>
      <w:color w:val="2B579A"/>
      <w:shd w:val="clear" w:color="auto" w:fill="E1DFDD"/>
    </w:rPr>
  </w:style>
  <w:style w:type="table" w:styleId="TableGrid">
    <w:name w:val="Table Grid"/>
    <w:basedOn w:val="TableNormal"/>
    <w:uiPriority w:val="39"/>
    <w:rsid w:val="0030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F56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56F0"/>
    <w:rPr>
      <w:sz w:val="20"/>
      <w:szCs w:val="20"/>
    </w:rPr>
  </w:style>
  <w:style w:type="character" w:styleId="EndnoteReference">
    <w:name w:val="endnote reference"/>
    <w:basedOn w:val="DefaultParagraphFont"/>
    <w:uiPriority w:val="99"/>
    <w:semiHidden/>
    <w:unhideWhenUsed/>
    <w:rsid w:val="00EF56F0"/>
    <w:rPr>
      <w:vertAlign w:val="superscript"/>
    </w:rPr>
  </w:style>
  <w:style w:type="paragraph" w:customStyle="1" w:styleId="Default">
    <w:name w:val="Default"/>
    <w:rsid w:val="005742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
    <w:name w:val="Bullet"/>
    <w:basedOn w:val="NoSpacing"/>
    <w:qFormat/>
    <w:rsid w:val="007F1F45"/>
  </w:style>
  <w:style w:type="character" w:customStyle="1" w:styleId="cf01">
    <w:name w:val="cf01"/>
    <w:basedOn w:val="DefaultParagraphFont"/>
    <w:rsid w:val="008E5003"/>
    <w:rPr>
      <w:rFonts w:ascii="Segoe UI" w:hAnsi="Segoe UI" w:cs="Segoe UI" w:hint="default"/>
      <w:sz w:val="18"/>
      <w:szCs w:val="18"/>
    </w:rPr>
  </w:style>
  <w:style w:type="paragraph" w:customStyle="1" w:styleId="pf0">
    <w:name w:val="pf0"/>
    <w:basedOn w:val="Normal"/>
    <w:rsid w:val="007177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11966">
      <w:bodyDiv w:val="1"/>
      <w:marLeft w:val="0"/>
      <w:marRight w:val="0"/>
      <w:marTop w:val="0"/>
      <w:marBottom w:val="0"/>
      <w:divBdr>
        <w:top w:val="none" w:sz="0" w:space="0" w:color="auto"/>
        <w:left w:val="none" w:sz="0" w:space="0" w:color="auto"/>
        <w:bottom w:val="none" w:sz="0" w:space="0" w:color="auto"/>
        <w:right w:val="none" w:sz="0" w:space="0" w:color="auto"/>
      </w:divBdr>
      <w:divsChild>
        <w:div w:id="33775558">
          <w:marLeft w:val="0"/>
          <w:marRight w:val="0"/>
          <w:marTop w:val="0"/>
          <w:marBottom w:val="0"/>
          <w:divBdr>
            <w:top w:val="none" w:sz="0" w:space="0" w:color="auto"/>
            <w:left w:val="none" w:sz="0" w:space="0" w:color="auto"/>
            <w:bottom w:val="none" w:sz="0" w:space="0" w:color="auto"/>
            <w:right w:val="none" w:sz="0" w:space="0" w:color="auto"/>
          </w:divBdr>
        </w:div>
        <w:div w:id="60448455">
          <w:marLeft w:val="0"/>
          <w:marRight w:val="0"/>
          <w:marTop w:val="0"/>
          <w:marBottom w:val="0"/>
          <w:divBdr>
            <w:top w:val="none" w:sz="0" w:space="0" w:color="auto"/>
            <w:left w:val="none" w:sz="0" w:space="0" w:color="auto"/>
            <w:bottom w:val="none" w:sz="0" w:space="0" w:color="auto"/>
            <w:right w:val="none" w:sz="0" w:space="0" w:color="auto"/>
          </w:divBdr>
        </w:div>
        <w:div w:id="177961868">
          <w:marLeft w:val="0"/>
          <w:marRight w:val="0"/>
          <w:marTop w:val="0"/>
          <w:marBottom w:val="0"/>
          <w:divBdr>
            <w:top w:val="none" w:sz="0" w:space="0" w:color="auto"/>
            <w:left w:val="none" w:sz="0" w:space="0" w:color="auto"/>
            <w:bottom w:val="none" w:sz="0" w:space="0" w:color="auto"/>
            <w:right w:val="none" w:sz="0" w:space="0" w:color="auto"/>
          </w:divBdr>
          <w:divsChild>
            <w:div w:id="1207714230">
              <w:marLeft w:val="0"/>
              <w:marRight w:val="0"/>
              <w:marTop w:val="0"/>
              <w:marBottom w:val="0"/>
              <w:divBdr>
                <w:top w:val="none" w:sz="0" w:space="0" w:color="auto"/>
                <w:left w:val="none" w:sz="0" w:space="0" w:color="auto"/>
                <w:bottom w:val="none" w:sz="0" w:space="0" w:color="auto"/>
                <w:right w:val="none" w:sz="0" w:space="0" w:color="auto"/>
              </w:divBdr>
            </w:div>
            <w:div w:id="1417357675">
              <w:marLeft w:val="0"/>
              <w:marRight w:val="0"/>
              <w:marTop w:val="0"/>
              <w:marBottom w:val="0"/>
              <w:divBdr>
                <w:top w:val="none" w:sz="0" w:space="0" w:color="auto"/>
                <w:left w:val="none" w:sz="0" w:space="0" w:color="auto"/>
                <w:bottom w:val="none" w:sz="0" w:space="0" w:color="auto"/>
                <w:right w:val="none" w:sz="0" w:space="0" w:color="auto"/>
              </w:divBdr>
            </w:div>
          </w:divsChild>
        </w:div>
        <w:div w:id="218977332">
          <w:marLeft w:val="0"/>
          <w:marRight w:val="0"/>
          <w:marTop w:val="0"/>
          <w:marBottom w:val="0"/>
          <w:divBdr>
            <w:top w:val="none" w:sz="0" w:space="0" w:color="auto"/>
            <w:left w:val="none" w:sz="0" w:space="0" w:color="auto"/>
            <w:bottom w:val="none" w:sz="0" w:space="0" w:color="auto"/>
            <w:right w:val="none" w:sz="0" w:space="0" w:color="auto"/>
          </w:divBdr>
        </w:div>
        <w:div w:id="234242057">
          <w:marLeft w:val="0"/>
          <w:marRight w:val="0"/>
          <w:marTop w:val="0"/>
          <w:marBottom w:val="0"/>
          <w:divBdr>
            <w:top w:val="none" w:sz="0" w:space="0" w:color="auto"/>
            <w:left w:val="none" w:sz="0" w:space="0" w:color="auto"/>
            <w:bottom w:val="none" w:sz="0" w:space="0" w:color="auto"/>
            <w:right w:val="none" w:sz="0" w:space="0" w:color="auto"/>
          </w:divBdr>
        </w:div>
        <w:div w:id="273758447">
          <w:marLeft w:val="0"/>
          <w:marRight w:val="0"/>
          <w:marTop w:val="0"/>
          <w:marBottom w:val="0"/>
          <w:divBdr>
            <w:top w:val="none" w:sz="0" w:space="0" w:color="auto"/>
            <w:left w:val="none" w:sz="0" w:space="0" w:color="auto"/>
            <w:bottom w:val="none" w:sz="0" w:space="0" w:color="auto"/>
            <w:right w:val="none" w:sz="0" w:space="0" w:color="auto"/>
          </w:divBdr>
        </w:div>
        <w:div w:id="353504788">
          <w:marLeft w:val="0"/>
          <w:marRight w:val="0"/>
          <w:marTop w:val="0"/>
          <w:marBottom w:val="0"/>
          <w:divBdr>
            <w:top w:val="none" w:sz="0" w:space="0" w:color="auto"/>
            <w:left w:val="none" w:sz="0" w:space="0" w:color="auto"/>
            <w:bottom w:val="none" w:sz="0" w:space="0" w:color="auto"/>
            <w:right w:val="none" w:sz="0" w:space="0" w:color="auto"/>
          </w:divBdr>
        </w:div>
        <w:div w:id="367144359">
          <w:marLeft w:val="0"/>
          <w:marRight w:val="0"/>
          <w:marTop w:val="0"/>
          <w:marBottom w:val="0"/>
          <w:divBdr>
            <w:top w:val="none" w:sz="0" w:space="0" w:color="auto"/>
            <w:left w:val="none" w:sz="0" w:space="0" w:color="auto"/>
            <w:bottom w:val="none" w:sz="0" w:space="0" w:color="auto"/>
            <w:right w:val="none" w:sz="0" w:space="0" w:color="auto"/>
          </w:divBdr>
        </w:div>
        <w:div w:id="432557435">
          <w:marLeft w:val="0"/>
          <w:marRight w:val="0"/>
          <w:marTop w:val="0"/>
          <w:marBottom w:val="0"/>
          <w:divBdr>
            <w:top w:val="none" w:sz="0" w:space="0" w:color="auto"/>
            <w:left w:val="none" w:sz="0" w:space="0" w:color="auto"/>
            <w:bottom w:val="none" w:sz="0" w:space="0" w:color="auto"/>
            <w:right w:val="none" w:sz="0" w:space="0" w:color="auto"/>
          </w:divBdr>
        </w:div>
        <w:div w:id="588539022">
          <w:marLeft w:val="0"/>
          <w:marRight w:val="0"/>
          <w:marTop w:val="0"/>
          <w:marBottom w:val="0"/>
          <w:divBdr>
            <w:top w:val="none" w:sz="0" w:space="0" w:color="auto"/>
            <w:left w:val="none" w:sz="0" w:space="0" w:color="auto"/>
            <w:bottom w:val="none" w:sz="0" w:space="0" w:color="auto"/>
            <w:right w:val="none" w:sz="0" w:space="0" w:color="auto"/>
          </w:divBdr>
        </w:div>
        <w:div w:id="710956455">
          <w:marLeft w:val="0"/>
          <w:marRight w:val="0"/>
          <w:marTop w:val="0"/>
          <w:marBottom w:val="0"/>
          <w:divBdr>
            <w:top w:val="none" w:sz="0" w:space="0" w:color="auto"/>
            <w:left w:val="none" w:sz="0" w:space="0" w:color="auto"/>
            <w:bottom w:val="none" w:sz="0" w:space="0" w:color="auto"/>
            <w:right w:val="none" w:sz="0" w:space="0" w:color="auto"/>
          </w:divBdr>
        </w:div>
        <w:div w:id="766316598">
          <w:marLeft w:val="0"/>
          <w:marRight w:val="0"/>
          <w:marTop w:val="0"/>
          <w:marBottom w:val="0"/>
          <w:divBdr>
            <w:top w:val="none" w:sz="0" w:space="0" w:color="auto"/>
            <w:left w:val="none" w:sz="0" w:space="0" w:color="auto"/>
            <w:bottom w:val="none" w:sz="0" w:space="0" w:color="auto"/>
            <w:right w:val="none" w:sz="0" w:space="0" w:color="auto"/>
          </w:divBdr>
        </w:div>
        <w:div w:id="838041414">
          <w:marLeft w:val="0"/>
          <w:marRight w:val="0"/>
          <w:marTop w:val="0"/>
          <w:marBottom w:val="0"/>
          <w:divBdr>
            <w:top w:val="none" w:sz="0" w:space="0" w:color="auto"/>
            <w:left w:val="none" w:sz="0" w:space="0" w:color="auto"/>
            <w:bottom w:val="none" w:sz="0" w:space="0" w:color="auto"/>
            <w:right w:val="none" w:sz="0" w:space="0" w:color="auto"/>
          </w:divBdr>
        </w:div>
        <w:div w:id="1072310654">
          <w:marLeft w:val="0"/>
          <w:marRight w:val="0"/>
          <w:marTop w:val="0"/>
          <w:marBottom w:val="0"/>
          <w:divBdr>
            <w:top w:val="none" w:sz="0" w:space="0" w:color="auto"/>
            <w:left w:val="none" w:sz="0" w:space="0" w:color="auto"/>
            <w:bottom w:val="none" w:sz="0" w:space="0" w:color="auto"/>
            <w:right w:val="none" w:sz="0" w:space="0" w:color="auto"/>
          </w:divBdr>
        </w:div>
        <w:div w:id="1109547750">
          <w:marLeft w:val="0"/>
          <w:marRight w:val="0"/>
          <w:marTop w:val="0"/>
          <w:marBottom w:val="0"/>
          <w:divBdr>
            <w:top w:val="none" w:sz="0" w:space="0" w:color="auto"/>
            <w:left w:val="none" w:sz="0" w:space="0" w:color="auto"/>
            <w:bottom w:val="none" w:sz="0" w:space="0" w:color="auto"/>
            <w:right w:val="none" w:sz="0" w:space="0" w:color="auto"/>
          </w:divBdr>
        </w:div>
        <w:div w:id="1150319711">
          <w:marLeft w:val="0"/>
          <w:marRight w:val="0"/>
          <w:marTop w:val="0"/>
          <w:marBottom w:val="0"/>
          <w:divBdr>
            <w:top w:val="none" w:sz="0" w:space="0" w:color="auto"/>
            <w:left w:val="none" w:sz="0" w:space="0" w:color="auto"/>
            <w:bottom w:val="none" w:sz="0" w:space="0" w:color="auto"/>
            <w:right w:val="none" w:sz="0" w:space="0" w:color="auto"/>
          </w:divBdr>
        </w:div>
        <w:div w:id="1180856887">
          <w:marLeft w:val="0"/>
          <w:marRight w:val="0"/>
          <w:marTop w:val="0"/>
          <w:marBottom w:val="0"/>
          <w:divBdr>
            <w:top w:val="none" w:sz="0" w:space="0" w:color="auto"/>
            <w:left w:val="none" w:sz="0" w:space="0" w:color="auto"/>
            <w:bottom w:val="none" w:sz="0" w:space="0" w:color="auto"/>
            <w:right w:val="none" w:sz="0" w:space="0" w:color="auto"/>
          </w:divBdr>
        </w:div>
        <w:div w:id="1241914921">
          <w:marLeft w:val="0"/>
          <w:marRight w:val="0"/>
          <w:marTop w:val="0"/>
          <w:marBottom w:val="0"/>
          <w:divBdr>
            <w:top w:val="none" w:sz="0" w:space="0" w:color="auto"/>
            <w:left w:val="none" w:sz="0" w:space="0" w:color="auto"/>
            <w:bottom w:val="none" w:sz="0" w:space="0" w:color="auto"/>
            <w:right w:val="none" w:sz="0" w:space="0" w:color="auto"/>
          </w:divBdr>
        </w:div>
        <w:div w:id="1246183861">
          <w:marLeft w:val="0"/>
          <w:marRight w:val="0"/>
          <w:marTop w:val="0"/>
          <w:marBottom w:val="0"/>
          <w:divBdr>
            <w:top w:val="none" w:sz="0" w:space="0" w:color="auto"/>
            <w:left w:val="none" w:sz="0" w:space="0" w:color="auto"/>
            <w:bottom w:val="none" w:sz="0" w:space="0" w:color="auto"/>
            <w:right w:val="none" w:sz="0" w:space="0" w:color="auto"/>
          </w:divBdr>
        </w:div>
        <w:div w:id="1298030653">
          <w:marLeft w:val="0"/>
          <w:marRight w:val="0"/>
          <w:marTop w:val="0"/>
          <w:marBottom w:val="0"/>
          <w:divBdr>
            <w:top w:val="none" w:sz="0" w:space="0" w:color="auto"/>
            <w:left w:val="none" w:sz="0" w:space="0" w:color="auto"/>
            <w:bottom w:val="none" w:sz="0" w:space="0" w:color="auto"/>
            <w:right w:val="none" w:sz="0" w:space="0" w:color="auto"/>
          </w:divBdr>
        </w:div>
        <w:div w:id="1320302166">
          <w:marLeft w:val="0"/>
          <w:marRight w:val="0"/>
          <w:marTop w:val="0"/>
          <w:marBottom w:val="0"/>
          <w:divBdr>
            <w:top w:val="none" w:sz="0" w:space="0" w:color="auto"/>
            <w:left w:val="none" w:sz="0" w:space="0" w:color="auto"/>
            <w:bottom w:val="none" w:sz="0" w:space="0" w:color="auto"/>
            <w:right w:val="none" w:sz="0" w:space="0" w:color="auto"/>
          </w:divBdr>
        </w:div>
        <w:div w:id="1396468969">
          <w:marLeft w:val="0"/>
          <w:marRight w:val="0"/>
          <w:marTop w:val="0"/>
          <w:marBottom w:val="0"/>
          <w:divBdr>
            <w:top w:val="none" w:sz="0" w:space="0" w:color="auto"/>
            <w:left w:val="none" w:sz="0" w:space="0" w:color="auto"/>
            <w:bottom w:val="none" w:sz="0" w:space="0" w:color="auto"/>
            <w:right w:val="none" w:sz="0" w:space="0" w:color="auto"/>
          </w:divBdr>
        </w:div>
        <w:div w:id="1443573855">
          <w:marLeft w:val="0"/>
          <w:marRight w:val="0"/>
          <w:marTop w:val="0"/>
          <w:marBottom w:val="0"/>
          <w:divBdr>
            <w:top w:val="none" w:sz="0" w:space="0" w:color="auto"/>
            <w:left w:val="none" w:sz="0" w:space="0" w:color="auto"/>
            <w:bottom w:val="none" w:sz="0" w:space="0" w:color="auto"/>
            <w:right w:val="none" w:sz="0" w:space="0" w:color="auto"/>
          </w:divBdr>
        </w:div>
        <w:div w:id="1459647069">
          <w:marLeft w:val="0"/>
          <w:marRight w:val="0"/>
          <w:marTop w:val="0"/>
          <w:marBottom w:val="0"/>
          <w:divBdr>
            <w:top w:val="none" w:sz="0" w:space="0" w:color="auto"/>
            <w:left w:val="none" w:sz="0" w:space="0" w:color="auto"/>
            <w:bottom w:val="none" w:sz="0" w:space="0" w:color="auto"/>
            <w:right w:val="none" w:sz="0" w:space="0" w:color="auto"/>
          </w:divBdr>
        </w:div>
        <w:div w:id="1503088014">
          <w:marLeft w:val="0"/>
          <w:marRight w:val="0"/>
          <w:marTop w:val="0"/>
          <w:marBottom w:val="0"/>
          <w:divBdr>
            <w:top w:val="none" w:sz="0" w:space="0" w:color="auto"/>
            <w:left w:val="none" w:sz="0" w:space="0" w:color="auto"/>
            <w:bottom w:val="none" w:sz="0" w:space="0" w:color="auto"/>
            <w:right w:val="none" w:sz="0" w:space="0" w:color="auto"/>
          </w:divBdr>
        </w:div>
        <w:div w:id="1531645394">
          <w:marLeft w:val="0"/>
          <w:marRight w:val="0"/>
          <w:marTop w:val="0"/>
          <w:marBottom w:val="0"/>
          <w:divBdr>
            <w:top w:val="none" w:sz="0" w:space="0" w:color="auto"/>
            <w:left w:val="none" w:sz="0" w:space="0" w:color="auto"/>
            <w:bottom w:val="none" w:sz="0" w:space="0" w:color="auto"/>
            <w:right w:val="none" w:sz="0" w:space="0" w:color="auto"/>
          </w:divBdr>
        </w:div>
        <w:div w:id="1591237483">
          <w:marLeft w:val="0"/>
          <w:marRight w:val="0"/>
          <w:marTop w:val="0"/>
          <w:marBottom w:val="0"/>
          <w:divBdr>
            <w:top w:val="none" w:sz="0" w:space="0" w:color="auto"/>
            <w:left w:val="none" w:sz="0" w:space="0" w:color="auto"/>
            <w:bottom w:val="none" w:sz="0" w:space="0" w:color="auto"/>
            <w:right w:val="none" w:sz="0" w:space="0" w:color="auto"/>
          </w:divBdr>
        </w:div>
        <w:div w:id="1628199189">
          <w:marLeft w:val="0"/>
          <w:marRight w:val="0"/>
          <w:marTop w:val="0"/>
          <w:marBottom w:val="0"/>
          <w:divBdr>
            <w:top w:val="none" w:sz="0" w:space="0" w:color="auto"/>
            <w:left w:val="none" w:sz="0" w:space="0" w:color="auto"/>
            <w:bottom w:val="none" w:sz="0" w:space="0" w:color="auto"/>
            <w:right w:val="none" w:sz="0" w:space="0" w:color="auto"/>
          </w:divBdr>
          <w:divsChild>
            <w:div w:id="781848229">
              <w:marLeft w:val="0"/>
              <w:marRight w:val="0"/>
              <w:marTop w:val="0"/>
              <w:marBottom w:val="0"/>
              <w:divBdr>
                <w:top w:val="none" w:sz="0" w:space="0" w:color="auto"/>
                <w:left w:val="none" w:sz="0" w:space="0" w:color="auto"/>
                <w:bottom w:val="none" w:sz="0" w:space="0" w:color="auto"/>
                <w:right w:val="none" w:sz="0" w:space="0" w:color="auto"/>
              </w:divBdr>
            </w:div>
            <w:div w:id="1276135293">
              <w:marLeft w:val="0"/>
              <w:marRight w:val="0"/>
              <w:marTop w:val="0"/>
              <w:marBottom w:val="0"/>
              <w:divBdr>
                <w:top w:val="none" w:sz="0" w:space="0" w:color="auto"/>
                <w:left w:val="none" w:sz="0" w:space="0" w:color="auto"/>
                <w:bottom w:val="none" w:sz="0" w:space="0" w:color="auto"/>
                <w:right w:val="none" w:sz="0" w:space="0" w:color="auto"/>
              </w:divBdr>
            </w:div>
            <w:div w:id="1877423073">
              <w:marLeft w:val="0"/>
              <w:marRight w:val="0"/>
              <w:marTop w:val="0"/>
              <w:marBottom w:val="0"/>
              <w:divBdr>
                <w:top w:val="none" w:sz="0" w:space="0" w:color="auto"/>
                <w:left w:val="none" w:sz="0" w:space="0" w:color="auto"/>
                <w:bottom w:val="none" w:sz="0" w:space="0" w:color="auto"/>
                <w:right w:val="none" w:sz="0" w:space="0" w:color="auto"/>
              </w:divBdr>
            </w:div>
            <w:div w:id="1908219313">
              <w:marLeft w:val="0"/>
              <w:marRight w:val="0"/>
              <w:marTop w:val="0"/>
              <w:marBottom w:val="0"/>
              <w:divBdr>
                <w:top w:val="none" w:sz="0" w:space="0" w:color="auto"/>
                <w:left w:val="none" w:sz="0" w:space="0" w:color="auto"/>
                <w:bottom w:val="none" w:sz="0" w:space="0" w:color="auto"/>
                <w:right w:val="none" w:sz="0" w:space="0" w:color="auto"/>
              </w:divBdr>
            </w:div>
          </w:divsChild>
        </w:div>
        <w:div w:id="1832334451">
          <w:marLeft w:val="0"/>
          <w:marRight w:val="0"/>
          <w:marTop w:val="0"/>
          <w:marBottom w:val="0"/>
          <w:divBdr>
            <w:top w:val="none" w:sz="0" w:space="0" w:color="auto"/>
            <w:left w:val="none" w:sz="0" w:space="0" w:color="auto"/>
            <w:bottom w:val="none" w:sz="0" w:space="0" w:color="auto"/>
            <w:right w:val="none" w:sz="0" w:space="0" w:color="auto"/>
          </w:divBdr>
        </w:div>
        <w:div w:id="1955404168">
          <w:marLeft w:val="0"/>
          <w:marRight w:val="0"/>
          <w:marTop w:val="0"/>
          <w:marBottom w:val="0"/>
          <w:divBdr>
            <w:top w:val="none" w:sz="0" w:space="0" w:color="auto"/>
            <w:left w:val="none" w:sz="0" w:space="0" w:color="auto"/>
            <w:bottom w:val="none" w:sz="0" w:space="0" w:color="auto"/>
            <w:right w:val="none" w:sz="0" w:space="0" w:color="auto"/>
          </w:divBdr>
        </w:div>
        <w:div w:id="2026207694">
          <w:marLeft w:val="0"/>
          <w:marRight w:val="0"/>
          <w:marTop w:val="0"/>
          <w:marBottom w:val="0"/>
          <w:divBdr>
            <w:top w:val="none" w:sz="0" w:space="0" w:color="auto"/>
            <w:left w:val="none" w:sz="0" w:space="0" w:color="auto"/>
            <w:bottom w:val="none" w:sz="0" w:space="0" w:color="auto"/>
            <w:right w:val="none" w:sz="0" w:space="0" w:color="auto"/>
          </w:divBdr>
        </w:div>
        <w:div w:id="2078090527">
          <w:marLeft w:val="0"/>
          <w:marRight w:val="0"/>
          <w:marTop w:val="0"/>
          <w:marBottom w:val="0"/>
          <w:divBdr>
            <w:top w:val="none" w:sz="0" w:space="0" w:color="auto"/>
            <w:left w:val="none" w:sz="0" w:space="0" w:color="auto"/>
            <w:bottom w:val="none" w:sz="0" w:space="0" w:color="auto"/>
            <w:right w:val="none" w:sz="0" w:space="0" w:color="auto"/>
          </w:divBdr>
        </w:div>
      </w:divsChild>
    </w:div>
    <w:div w:id="1070157426">
      <w:bodyDiv w:val="1"/>
      <w:marLeft w:val="0"/>
      <w:marRight w:val="0"/>
      <w:marTop w:val="0"/>
      <w:marBottom w:val="0"/>
      <w:divBdr>
        <w:top w:val="none" w:sz="0" w:space="0" w:color="auto"/>
        <w:left w:val="none" w:sz="0" w:space="0" w:color="auto"/>
        <w:bottom w:val="none" w:sz="0" w:space="0" w:color="auto"/>
        <w:right w:val="none" w:sz="0" w:space="0" w:color="auto"/>
      </w:divBdr>
    </w:div>
    <w:div w:id="1183517679">
      <w:bodyDiv w:val="1"/>
      <w:marLeft w:val="0"/>
      <w:marRight w:val="0"/>
      <w:marTop w:val="0"/>
      <w:marBottom w:val="0"/>
      <w:divBdr>
        <w:top w:val="none" w:sz="0" w:space="0" w:color="auto"/>
        <w:left w:val="none" w:sz="0" w:space="0" w:color="auto"/>
        <w:bottom w:val="none" w:sz="0" w:space="0" w:color="auto"/>
        <w:right w:val="none" w:sz="0" w:space="0" w:color="auto"/>
      </w:divBdr>
    </w:div>
    <w:div w:id="20964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40/chapter-I/subchapter-D/part-133/section-133.103" TargetMode="External"/><Relationship Id="rId21" Type="http://schemas.openxmlformats.org/officeDocument/2006/relationships/hyperlink" Target="https://www.ecfr.gov/current/title-40/part-124/section-124.56" TargetMode="External"/><Relationship Id="rId42" Type="http://schemas.openxmlformats.org/officeDocument/2006/relationships/hyperlink" Target="https://www.ecfr.gov/current/title-40/chapter-I/subchapter-D/part-125/subpart-A/section-125.3" TargetMode="External"/><Relationship Id="rId47" Type="http://schemas.openxmlformats.org/officeDocument/2006/relationships/hyperlink" Target="https://www.ecfr.gov/current/title-40/chapter-I/subchapter-D/part-122/subpart-C/section-122.44" TargetMode="External"/><Relationship Id="rId63" Type="http://schemas.openxmlformats.org/officeDocument/2006/relationships/hyperlink" Target="https://www.ecfr.gov/current/title-40/chapter-I/subchapter-D/part-124/subpart-A/section-124.10" TargetMode="External"/><Relationship Id="rId68" Type="http://schemas.openxmlformats.org/officeDocument/2006/relationships/hyperlink" Target="https://www.ecfr.gov/current/title-40/chapter-I/subchapter-D/part-124/subpart-D/section-124.53" TargetMode="External"/><Relationship Id="rId16" Type="http://schemas.openxmlformats.org/officeDocument/2006/relationships/hyperlink" Target="https://www.ecfr.gov/current/title-40/chapter-I/subchapter-D/part-124/subpart-A/section-124.8" TargetMode="External"/><Relationship Id="rId11" Type="http://schemas.openxmlformats.org/officeDocument/2006/relationships/hyperlink" Target="https://www.ecfr.gov/current/title-40/section-124.9" TargetMode="External"/><Relationship Id="rId24" Type="http://schemas.openxmlformats.org/officeDocument/2006/relationships/hyperlink" Target="https://www.ecfr.gov/current/title-40/part-124/section-124.56" TargetMode="External"/><Relationship Id="rId32" Type="http://schemas.openxmlformats.org/officeDocument/2006/relationships/hyperlink" Target="https://www.ecfr.gov/current/title-40/chapter-I/subchapter-D/part-122/subpart-C/section-122.44" TargetMode="External"/><Relationship Id="rId37" Type="http://schemas.openxmlformats.org/officeDocument/2006/relationships/hyperlink" Target="https://www.ecfr.gov/current/title-40/chapter-I/subchapter-D/part-124/subpart-D/section-124.56" TargetMode="External"/><Relationship Id="rId40" Type="http://schemas.openxmlformats.org/officeDocument/2006/relationships/hyperlink" Target="https://www.ecfr.gov/current/title-40/chapter-I/subchapter-D/part-125/subpart-A/section-125.3" TargetMode="External"/><Relationship Id="rId45" Type="http://schemas.openxmlformats.org/officeDocument/2006/relationships/hyperlink" Target="https://www.ecfr.gov/current/title-40/chapter-I/subchapter-D/part-124/subpart-D/section-124.56" TargetMode="External"/><Relationship Id="rId53" Type="http://schemas.openxmlformats.org/officeDocument/2006/relationships/hyperlink" Target="https://www.ecfr.gov/current/title-40/chapter-I/subchapter-D/part-124/subpart-D/section-124.56" TargetMode="External"/><Relationship Id="rId58" Type="http://schemas.openxmlformats.org/officeDocument/2006/relationships/hyperlink" Target="https://www.ecfr.gov/current/title-40/chapter-I/subchapter-D/part-122/subpart-C/section-122.47" TargetMode="External"/><Relationship Id="rId66" Type="http://schemas.openxmlformats.org/officeDocument/2006/relationships/hyperlink" Target="https://www.ecfr.gov/current/title-40/chapter-I/subchapter-D/part-124/subpart-A/section-124.9" TargetMode="External"/><Relationship Id="rId74" Type="http://schemas.openxmlformats.org/officeDocument/2006/relationships/header" Target="header4.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ecfr.gov/current/title-40/chapter-I/subchapter-D/part-122/subpart-B/section-122.21" TargetMode="External"/><Relationship Id="rId19" Type="http://schemas.openxmlformats.org/officeDocument/2006/relationships/hyperlink" Target="https://www.ecfr.gov/current/title-40/chapter-I/subchapter-D/part-122" TargetMode="External"/><Relationship Id="rId14" Type="http://schemas.openxmlformats.org/officeDocument/2006/relationships/hyperlink" Target="https://www.ecfr.gov/current/title-40/chapter-I/subchapter-D/part-124/subpart-D/section-124.56" TargetMode="External"/><Relationship Id="rId22" Type="http://schemas.openxmlformats.org/officeDocument/2006/relationships/hyperlink" Target="https://www.ecfr.gov/current/title-40/part-122" TargetMode="External"/><Relationship Id="rId27" Type="http://schemas.openxmlformats.org/officeDocument/2006/relationships/hyperlink" Target="https://www.ecfr.gov/current/title-40/chapter-I/subchapter-D/part-133/section-133.102" TargetMode="External"/><Relationship Id="rId30" Type="http://schemas.openxmlformats.org/officeDocument/2006/relationships/hyperlink" Target="https://www.ecfr.gov/current/title-40/part-124/section-124.56" TargetMode="External"/><Relationship Id="rId35" Type="http://schemas.openxmlformats.org/officeDocument/2006/relationships/hyperlink" Target="https://www.ecfr.gov/current/title-40/chapter-I/subchapter-D/part-124/subpart-D/section-124.56" TargetMode="External"/><Relationship Id="rId43" Type="http://schemas.openxmlformats.org/officeDocument/2006/relationships/hyperlink" Target="https://www.ecfr.gov/current/title-40/chapter-I/subchapter-D/part-124/subpart-D/section-124.56" TargetMode="External"/><Relationship Id="rId48" Type="http://schemas.openxmlformats.org/officeDocument/2006/relationships/hyperlink" Target="https://www.ecfr.gov/current/title-40/chapter-I/subchapter-D/part-122/subpart-C/section-122.44" TargetMode="External"/><Relationship Id="rId56" Type="http://schemas.openxmlformats.org/officeDocument/2006/relationships/hyperlink" Target="https://www.ecfr.gov/current/title-40/chapter-I/subchapter-D/part-122/subpart-C/section-122.44" TargetMode="External"/><Relationship Id="rId64" Type="http://schemas.openxmlformats.org/officeDocument/2006/relationships/hyperlink" Target="https://www.ecfr.gov/current/title-40/chapter-I/subchapter-D/part-124/subpart-A/section-124.8" TargetMode="External"/><Relationship Id="rId69" Type="http://schemas.openxmlformats.org/officeDocument/2006/relationships/hyperlink" Target="https://www.ecfr.gov/current/title-40/chapter-I/subchapter-D/part-124/subpart-D/section-124.56" TargetMode="External"/><Relationship Id="rId77" Type="http://schemas.openxmlformats.org/officeDocument/2006/relationships/footer" Target="footer3.xml"/><Relationship Id="rId8" Type="http://schemas.openxmlformats.org/officeDocument/2006/relationships/hyperlink" Target="https://www.ecfr.gov/current/title-40/section-124.8" TargetMode="External"/><Relationship Id="rId51" Type="http://schemas.openxmlformats.org/officeDocument/2006/relationships/hyperlink" Target="https://www.ecfr.gov/current/title-40/chapter-I/subchapter-D/part-124/subpart-A/section-124.8"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ecfr.gov/current/title-40/part-124/section-124.8" TargetMode="External"/><Relationship Id="rId17" Type="http://schemas.openxmlformats.org/officeDocument/2006/relationships/hyperlink" Target="https://www.ecfr.gov/current/title-40/chapter-I/subchapter-D/part-124/subpart-D/section-124.56" TargetMode="External"/><Relationship Id="rId25" Type="http://schemas.openxmlformats.org/officeDocument/2006/relationships/hyperlink" Target="https://www.ecfr.gov/current/title-40/chapter-I/subchapter-D/part-133/section-133.105" TargetMode="External"/><Relationship Id="rId33" Type="http://schemas.openxmlformats.org/officeDocument/2006/relationships/hyperlink" Target="https://www.ecfr.gov/current/title-40/chapter-I/subchapter-D/part-122/subpart-C/section-122.44" TargetMode="External"/><Relationship Id="rId38" Type="http://schemas.openxmlformats.org/officeDocument/2006/relationships/hyperlink" Target="https://www.ecfr.gov/current/title-40/chapter-I/subchapter-D/part-122/subpart-C/section-122.45" TargetMode="External"/><Relationship Id="rId46" Type="http://schemas.openxmlformats.org/officeDocument/2006/relationships/hyperlink" Target="https://www.ecfr.gov/current/title-40/chapter-I/subchapter-D/part-122/subpart-C/section-122.44" TargetMode="External"/><Relationship Id="rId59" Type="http://schemas.openxmlformats.org/officeDocument/2006/relationships/hyperlink" Target="https://www.ecfr.gov/current/title-40/chapter-I/subchapter-N/part-403/section-403.8" TargetMode="External"/><Relationship Id="rId67" Type="http://schemas.openxmlformats.org/officeDocument/2006/relationships/hyperlink" Target="https://www.ecfr.gov/current/title-40/chapter-I/subchapter-D/part-124/subpart-A/section-124.8" TargetMode="External"/><Relationship Id="rId20" Type="http://schemas.openxmlformats.org/officeDocument/2006/relationships/hyperlink" Target="https://www.ecfr.gov/current/title-40/chapter-I/subchapter-D/part-122/subpart-C/section-122.44" TargetMode="External"/><Relationship Id="rId41" Type="http://schemas.openxmlformats.org/officeDocument/2006/relationships/hyperlink" Target="https://www.ecfr.gov/current/title-40/chapter-I/subchapter-D/part-124/subpart-D/section-124.56" TargetMode="External"/><Relationship Id="rId54" Type="http://schemas.openxmlformats.org/officeDocument/2006/relationships/hyperlink" Target="https://www.ecfr.gov/current/title-40/part-124/section-124.56" TargetMode="External"/><Relationship Id="rId62" Type="http://schemas.openxmlformats.org/officeDocument/2006/relationships/hyperlink" Target="https://www.ecfr.gov/current/title-40/chapter-I/subchapter-D/part-124/subpart-A/section-124.8" TargetMode="External"/><Relationship Id="rId70" Type="http://schemas.openxmlformats.org/officeDocument/2006/relationships/header" Target="header1.xm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cfr.gov/current/title-40/chapter-I/subchapter-D/part-124/subpart-A/section-124.8" TargetMode="External"/><Relationship Id="rId23" Type="http://schemas.openxmlformats.org/officeDocument/2006/relationships/hyperlink" Target="https://www.ecfr.gov/current/title-40/chapter-I/subchapter-D/part-122/subpart-C/section-122.44" TargetMode="External"/><Relationship Id="rId28" Type="http://schemas.openxmlformats.org/officeDocument/2006/relationships/hyperlink" Target="https://www.ecfr.gov/current/title-40/part-125" TargetMode="External"/><Relationship Id="rId36" Type="http://schemas.openxmlformats.org/officeDocument/2006/relationships/hyperlink" Target="https://www.ecfr.gov/current/title-40/chapter-I/subchapter-D/part-122/subpart-C/section-122.44" TargetMode="External"/><Relationship Id="rId49" Type="http://schemas.openxmlformats.org/officeDocument/2006/relationships/hyperlink" Target="https://www.ecfr.gov/current/title-40/chapter-I/subchapter-D/part-122/subpart-A/section-122.4" TargetMode="External"/><Relationship Id="rId57" Type="http://schemas.openxmlformats.org/officeDocument/2006/relationships/hyperlink" Target="https://www.ecfr.gov/current/title-40/section-131.12" TargetMode="External"/><Relationship Id="rId10" Type="http://schemas.openxmlformats.org/officeDocument/2006/relationships/hyperlink" Target="https://www.ecfr.gov/current/title-40/part-124/section-124.8" TargetMode="External"/><Relationship Id="rId31" Type="http://schemas.openxmlformats.org/officeDocument/2006/relationships/hyperlink" Target="https://www.ecfr.gov/current/title-40/chapter-I/subchapter-D/part-122/subpart-C/section-122.44" TargetMode="External"/><Relationship Id="rId44" Type="http://schemas.openxmlformats.org/officeDocument/2006/relationships/hyperlink" Target="https://www.ecfr.gov/current/title-40/chapter-I/subchapter-D/part-122/subpart-C/section-122.44" TargetMode="External"/><Relationship Id="rId52" Type="http://schemas.openxmlformats.org/officeDocument/2006/relationships/hyperlink" Target="https://www.ecfr.gov/current/title-40/chapter-I/subchapter-D/part-122/subpart-C/section-122.44" TargetMode="External"/><Relationship Id="rId60" Type="http://schemas.openxmlformats.org/officeDocument/2006/relationships/hyperlink" Target="https://www.ecfr.gov/current/title-40/chapter-I/subchapter-D/part-122/subpart-B/section-122.21" TargetMode="External"/><Relationship Id="rId65" Type="http://schemas.openxmlformats.org/officeDocument/2006/relationships/hyperlink" Target="https://www.ecfr.gov/current/title-40/chapter-I/subchapter-D/part-124/subpart-A/section-124.8" TargetMode="External"/><Relationship Id="rId73" Type="http://schemas.openxmlformats.org/officeDocument/2006/relationships/header" Target="header3.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urrent/title-40/section-124.56" TargetMode="External"/><Relationship Id="rId13" Type="http://schemas.openxmlformats.org/officeDocument/2006/relationships/hyperlink" Target="https://www.ecfr.gov/current/title-40/chapter-I/subchapter-D/part-122/subpart-C/section-122.44" TargetMode="External"/><Relationship Id="rId18" Type="http://schemas.openxmlformats.org/officeDocument/2006/relationships/hyperlink" Target="https://www.ecfr.gov/current/title-40/chapter-I/subchapter-D/part-122/subpart-A/section-122.1" TargetMode="External"/><Relationship Id="rId39" Type="http://schemas.openxmlformats.org/officeDocument/2006/relationships/hyperlink" Target="https://www.ecfr.gov/current/title-40/chapter-I/subchapter-D/part-124/subpart-D/section-124.56" TargetMode="External"/><Relationship Id="rId34" Type="http://schemas.openxmlformats.org/officeDocument/2006/relationships/hyperlink" Target="https://www.ecfr.gov/current/title-40/chapter-I/subchapter-D/part-122/subpart-C/section-122.44" TargetMode="External"/><Relationship Id="rId50" Type="http://schemas.openxmlformats.org/officeDocument/2006/relationships/hyperlink" Target="https://www.ecfr.gov/current/title-40/chapter-I/subchapter-D/part-124/subpart-D/section-124.56" TargetMode="External"/><Relationship Id="rId55" Type="http://schemas.openxmlformats.org/officeDocument/2006/relationships/hyperlink" Target="https://www.ecfr.gov/current/title-40/part-124/section-124.8" TargetMode="External"/><Relationship Id="rId76"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s://www.ecfr.gov/current/title-40/part-125"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ecfr.gov/current/title-40/chapter-I/subchapter-D/part-125/subpart-A/section-125.3" TargetMode="External"/><Relationship Id="rId13" Type="http://schemas.openxmlformats.org/officeDocument/2006/relationships/hyperlink" Target="https://www.ecfr.gov/current/title-40/chapter-I/subchapter-D/part-122/subpart-C/section-122.47" TargetMode="External"/><Relationship Id="rId18" Type="http://schemas.openxmlformats.org/officeDocument/2006/relationships/hyperlink" Target="https://www.ecfr.gov/current/title-40/chapter-I/subchapter-D/part-124/subpart-A/section-124.7" TargetMode="External"/><Relationship Id="rId3" Type="http://schemas.openxmlformats.org/officeDocument/2006/relationships/hyperlink" Target="https://www.ecfr.gov/current/title-40/chapter-I/subchapter-D/part-122/subpart-C/section-122.44" TargetMode="External"/><Relationship Id="rId7" Type="http://schemas.openxmlformats.org/officeDocument/2006/relationships/hyperlink" Target="https://www.ecfr.gov/current/title-40/chapter-I/subchapter-D/part-122/subpart-C/section-122.45" TargetMode="External"/><Relationship Id="rId12" Type="http://schemas.openxmlformats.org/officeDocument/2006/relationships/hyperlink" Target="https://www.ecfr.gov/current/title-40/chapter-I/subchapter-D/part-124/subpart-A/section-124.8" TargetMode="External"/><Relationship Id="rId17" Type="http://schemas.openxmlformats.org/officeDocument/2006/relationships/hyperlink" Target="https://www.ecfr.gov/current/title-40/chapter-I/subchapter-D/part-124/subpart-A/section-124.9" TargetMode="External"/><Relationship Id="rId2" Type="http://schemas.openxmlformats.org/officeDocument/2006/relationships/hyperlink" Target="https://www.ecfr.gov/current/title-40/part-122/section-122.44" TargetMode="External"/><Relationship Id="rId16" Type="http://schemas.openxmlformats.org/officeDocument/2006/relationships/hyperlink" Target="https://www.ecfr.gov/current/title-40/chapter-I/subchapter-D/part-122/subpart-B/section-122.21" TargetMode="External"/><Relationship Id="rId1" Type="http://schemas.openxmlformats.org/officeDocument/2006/relationships/hyperlink" Target="https://www.ecfr.gov/current/title-40/part-122/section-122.44" TargetMode="External"/><Relationship Id="rId6" Type="http://schemas.openxmlformats.org/officeDocument/2006/relationships/hyperlink" Target="https://www.ecfr.gov/current/title-40/chapter-I/subchapter-D/part-125/subpart-A/section-125.3" TargetMode="External"/><Relationship Id="rId11" Type="http://schemas.openxmlformats.org/officeDocument/2006/relationships/hyperlink" Target="https://www3.epa.gov/npdes/pubs/memo_complianceschedules_may07.pdf" TargetMode="External"/><Relationship Id="rId5" Type="http://schemas.openxmlformats.org/officeDocument/2006/relationships/hyperlink" Target="https://www.ecfr.gov/current/title-40/chapter-I/subchapter-D/part-125/subpart-A/section-125.3" TargetMode="External"/><Relationship Id="rId15" Type="http://schemas.openxmlformats.org/officeDocument/2006/relationships/hyperlink" Target="https://www.ecfr.gov/current/title-40/chapter-I/subchapter-D/part-122/subpart-B/section-122.21" TargetMode="External"/><Relationship Id="rId10" Type="http://schemas.openxmlformats.org/officeDocument/2006/relationships/hyperlink" Target="https://www.ecfr.gov/current/title-40/chapter-I/subchapter-D/part-122/subpart-A/section-122.4" TargetMode="External"/><Relationship Id="rId19" Type="http://schemas.openxmlformats.org/officeDocument/2006/relationships/hyperlink" Target="https://www.ecfr.gov/current/title-40/chapter-I/subchapter-D/part-124/subpart-A/section-124.8" TargetMode="External"/><Relationship Id="rId4" Type="http://schemas.openxmlformats.org/officeDocument/2006/relationships/hyperlink" Target="https://www.ecfr.gov/current/title-40/chapter-I/subchapter-D/part-125/subpart-A/section-125.3" TargetMode="External"/><Relationship Id="rId9" Type="http://schemas.openxmlformats.org/officeDocument/2006/relationships/hyperlink" Target="https://www.ecfr.gov/current/title-40/chapter-I/subchapter-D/part-122/subpart-C/section-122.44" TargetMode="External"/><Relationship Id="rId14" Type="http://schemas.openxmlformats.org/officeDocument/2006/relationships/hyperlink" Target="https://www.ecfr.gov/current/title-40/chapter-I/subchapter-D/part-122/subpart-C/section-12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CEFBC-407D-451B-8F03-8CB77F9E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3440</Words>
  <Characters>19611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2025-01-18T16:46:00Z</dcterms:created>
  <dcterms:modified xsi:type="dcterms:W3CDTF">2025-01-18T16:49:00Z</dcterms:modified>
</cp:coreProperties>
</file>