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34424" w14:textId="505C811D" w:rsidR="00A952F6" w:rsidRPr="008C1745" w:rsidRDefault="1716C831" w:rsidP="007F5B6B">
      <w:pPr>
        <w:pStyle w:val="Title"/>
        <w:rPr>
          <w:rFonts w:eastAsia="Calibri Light"/>
          <w:b/>
          <w:bCs/>
          <w:spacing w:val="0"/>
          <w:kern w:val="0"/>
        </w:rPr>
      </w:pPr>
      <w:r w:rsidRPr="28767479">
        <w:rPr>
          <w:rFonts w:eastAsia="Calibri Light"/>
          <w:b/>
          <w:bCs/>
          <w:spacing w:val="0"/>
          <w:kern w:val="0"/>
        </w:rPr>
        <w:t>Indicator</w:t>
      </w:r>
      <w:r w:rsidR="38E93585" w:rsidRPr="28767479">
        <w:rPr>
          <w:rFonts w:eastAsia="Calibri Light"/>
          <w:b/>
          <w:bCs/>
          <w:spacing w:val="0"/>
          <w:kern w:val="0"/>
        </w:rPr>
        <w:t xml:space="preserve"> Activity </w:t>
      </w:r>
      <w:r w:rsidR="08AA9ECC" w:rsidRPr="28767479">
        <w:rPr>
          <w:rFonts w:eastAsia="Calibri Light"/>
          <w:b/>
          <w:bCs/>
          <w:spacing w:val="0"/>
          <w:kern w:val="0"/>
        </w:rPr>
        <w:t>Instructions</w:t>
      </w:r>
      <w:bookmarkStart w:id="0" w:name="_Hlk181961589"/>
    </w:p>
    <w:p w14:paraId="2DF5E927" w14:textId="77777777" w:rsidR="00724BE9" w:rsidRPr="00346487" w:rsidRDefault="00724BE9" w:rsidP="007F5B6B">
      <w:pPr>
        <w:pStyle w:val="Worksheetsubtitle"/>
        <w:spacing w:before="0" w:after="0" w:line="240" w:lineRule="auto"/>
        <w:jc w:val="left"/>
        <w:rPr>
          <w:rFonts w:asciiTheme="majorHAnsi" w:hAnsiTheme="majorHAnsi" w:cstheme="majorHAnsi"/>
          <w:b/>
          <w:bCs w:val="0"/>
          <w:color w:val="auto"/>
        </w:rPr>
      </w:pPr>
      <w:r w:rsidRPr="00346487">
        <w:rPr>
          <w:rFonts w:asciiTheme="majorHAnsi" w:hAnsiTheme="majorHAnsi" w:cstheme="majorHAnsi"/>
          <w:b/>
          <w:bCs w:val="0"/>
          <w:color w:val="auto"/>
        </w:rPr>
        <w:t>Overview</w:t>
      </w:r>
    </w:p>
    <w:bookmarkEnd w:id="0"/>
    <w:p w14:paraId="2BAFA615" w14:textId="77777777" w:rsidR="00491375" w:rsidRDefault="00491375" w:rsidP="007F5B6B">
      <w:pPr>
        <w:spacing w:after="0" w:line="240" w:lineRule="auto"/>
        <w:rPr>
          <w:sz w:val="24"/>
          <w:szCs w:val="24"/>
        </w:rPr>
      </w:pPr>
    </w:p>
    <w:p w14:paraId="6AFDA3C6" w14:textId="653BCF2A" w:rsidR="00724BE9" w:rsidRPr="007E7481" w:rsidRDefault="002F3B04" w:rsidP="007F5B6B">
      <w:pPr>
        <w:spacing w:after="0" w:line="240" w:lineRule="auto"/>
        <w:rPr>
          <w:color w:val="4472C4" w:themeColor="accent1"/>
          <w:sz w:val="24"/>
          <w:szCs w:val="24"/>
          <w:u w:val="single"/>
        </w:rPr>
      </w:pPr>
      <w:r w:rsidRPr="007E7481">
        <w:rPr>
          <w:sz w:val="24"/>
          <w:szCs w:val="24"/>
        </w:rPr>
        <w:t xml:space="preserve">Resilience indicators can help practitioners and policy makers understand costs and benefits of enhancing resilience at all scales. For more information about what indicators are and how they are used in this tool, </w:t>
      </w:r>
      <w:r w:rsidR="0000413A" w:rsidRPr="007E7481">
        <w:rPr>
          <w:sz w:val="24"/>
          <w:szCs w:val="24"/>
        </w:rPr>
        <w:t xml:space="preserve">read the </w:t>
      </w:r>
      <w:r w:rsidRPr="007E7481">
        <w:rPr>
          <w:b/>
          <w:bCs/>
          <w:color w:val="538135" w:themeColor="accent6" w:themeShade="BF"/>
          <w:sz w:val="24"/>
          <w:szCs w:val="24"/>
        </w:rPr>
        <w:t>Resilience Indicators Background</w:t>
      </w:r>
      <w:r w:rsidR="0000413A" w:rsidRPr="007E7481">
        <w:rPr>
          <w:b/>
          <w:bCs/>
          <w:color w:val="538135" w:themeColor="accent6" w:themeShade="BF"/>
          <w:sz w:val="24"/>
          <w:szCs w:val="24"/>
        </w:rPr>
        <w:t xml:space="preserve"> </w:t>
      </w:r>
      <w:r w:rsidR="00244140">
        <w:rPr>
          <w:sz w:val="24"/>
          <w:szCs w:val="24"/>
        </w:rPr>
        <w:t>at the end of this document</w:t>
      </w:r>
      <w:r w:rsidR="0000413A" w:rsidRPr="007E7481">
        <w:rPr>
          <w:sz w:val="24"/>
          <w:szCs w:val="24"/>
        </w:rPr>
        <w:t>.</w:t>
      </w:r>
    </w:p>
    <w:p w14:paraId="50BA19FE" w14:textId="57920F3E" w:rsidR="00724BE9" w:rsidRPr="00D26A57" w:rsidRDefault="00724BE9" w:rsidP="007F5B6B">
      <w:pPr>
        <w:spacing w:after="0" w:line="240" w:lineRule="auto"/>
        <w:rPr>
          <w:sz w:val="24"/>
          <w:szCs w:val="24"/>
        </w:rPr>
      </w:pPr>
    </w:p>
    <w:p w14:paraId="27043987" w14:textId="326C7B15" w:rsidR="00AD1095" w:rsidRPr="005F6B23" w:rsidRDefault="00864EE4" w:rsidP="007F5B6B">
      <w:pPr>
        <w:pStyle w:val="Heading2"/>
        <w:spacing w:before="0" w:line="240" w:lineRule="auto"/>
      </w:pPr>
      <w:r>
        <w:t>Objective</w:t>
      </w:r>
    </w:p>
    <w:p w14:paraId="18D52164" w14:textId="220A0A0C" w:rsidR="36110B88" w:rsidRPr="007861C1" w:rsidRDefault="00AC3558" w:rsidP="007F5B6B">
      <w:pPr>
        <w:spacing w:after="0" w:line="240" w:lineRule="auto"/>
        <w:rPr>
          <w:sz w:val="24"/>
          <w:szCs w:val="24"/>
        </w:rPr>
      </w:pPr>
      <w:r>
        <w:rPr>
          <w:sz w:val="24"/>
          <w:szCs w:val="24"/>
        </w:rPr>
        <w:t>T</w:t>
      </w:r>
      <w:r w:rsidR="36110B88" w:rsidRPr="007861C1">
        <w:rPr>
          <w:sz w:val="24"/>
          <w:szCs w:val="24"/>
        </w:rPr>
        <w:t>o assess which indicators are most or least resilient and most or least equitable, and where systems and topics fall on resilience and equity continuums.</w:t>
      </w:r>
    </w:p>
    <w:p w14:paraId="26E5893B" w14:textId="7C211C26" w:rsidR="007861C1" w:rsidRPr="007861C1" w:rsidRDefault="007861C1" w:rsidP="007F5B6B">
      <w:pPr>
        <w:spacing w:after="0" w:line="240" w:lineRule="auto"/>
        <w:ind w:left="720" w:hanging="360"/>
        <w:rPr>
          <w:sz w:val="24"/>
          <w:szCs w:val="24"/>
        </w:rPr>
      </w:pPr>
    </w:p>
    <w:p w14:paraId="6A1E75A1" w14:textId="68BBD747" w:rsidR="005F6B23" w:rsidRDefault="00864EE4" w:rsidP="007F5B6B">
      <w:pPr>
        <w:pStyle w:val="Heading2"/>
        <w:spacing w:before="0" w:line="240" w:lineRule="auto"/>
      </w:pPr>
      <w:r>
        <w:t>Preparation</w:t>
      </w:r>
    </w:p>
    <w:p w14:paraId="0B966C73" w14:textId="3497B966" w:rsidR="005F6B23" w:rsidRPr="007861C1" w:rsidRDefault="005F6B23" w:rsidP="008C1745">
      <w:pPr>
        <w:spacing w:after="0" w:line="240" w:lineRule="auto"/>
        <w:ind w:left="360"/>
        <w:rPr>
          <w:sz w:val="24"/>
          <w:szCs w:val="24"/>
        </w:rPr>
      </w:pPr>
      <w:r w:rsidRPr="007861C1">
        <w:rPr>
          <w:b/>
          <w:bCs/>
          <w:sz w:val="24"/>
          <w:szCs w:val="24"/>
        </w:rPr>
        <w:t>Who</w:t>
      </w:r>
      <w:r w:rsidR="00864EE4">
        <w:rPr>
          <w:b/>
          <w:bCs/>
          <w:sz w:val="24"/>
          <w:szCs w:val="24"/>
        </w:rPr>
        <w:t xml:space="preserve"> will be involved</w:t>
      </w:r>
      <w:r w:rsidRPr="007861C1">
        <w:rPr>
          <w:b/>
          <w:bCs/>
          <w:sz w:val="24"/>
          <w:szCs w:val="24"/>
        </w:rPr>
        <w:t>:</w:t>
      </w:r>
      <w:r w:rsidRPr="007861C1">
        <w:rPr>
          <w:sz w:val="24"/>
          <w:szCs w:val="24"/>
        </w:rPr>
        <w:t xml:space="preserve"> </w:t>
      </w:r>
      <w:r w:rsidR="00D95BD8">
        <w:rPr>
          <w:sz w:val="24"/>
          <w:szCs w:val="24"/>
        </w:rPr>
        <w:t>w</w:t>
      </w:r>
      <w:r w:rsidR="37F5FCF1" w:rsidRPr="007861C1">
        <w:rPr>
          <w:sz w:val="24"/>
          <w:szCs w:val="24"/>
        </w:rPr>
        <w:t xml:space="preserve">orkshop </w:t>
      </w:r>
      <w:r w:rsidR="00F91D39">
        <w:rPr>
          <w:sz w:val="24"/>
          <w:szCs w:val="24"/>
        </w:rPr>
        <w:t>p</w:t>
      </w:r>
      <w:r w:rsidR="37F5FCF1" w:rsidRPr="007861C1">
        <w:rPr>
          <w:sz w:val="24"/>
          <w:szCs w:val="24"/>
        </w:rPr>
        <w:t xml:space="preserve">articipants, </w:t>
      </w:r>
      <w:r w:rsidR="00F91D39">
        <w:rPr>
          <w:sz w:val="24"/>
          <w:szCs w:val="24"/>
        </w:rPr>
        <w:t>f</w:t>
      </w:r>
      <w:r w:rsidR="37F5FCF1" w:rsidRPr="007861C1">
        <w:rPr>
          <w:sz w:val="24"/>
          <w:szCs w:val="24"/>
        </w:rPr>
        <w:t>acilitators</w:t>
      </w:r>
    </w:p>
    <w:p w14:paraId="3C9B1DC5" w14:textId="44E6A634" w:rsidR="005F6B23" w:rsidRPr="007861C1" w:rsidRDefault="005F6B23" w:rsidP="008C1745">
      <w:pPr>
        <w:spacing w:after="0" w:line="240" w:lineRule="auto"/>
        <w:ind w:left="360"/>
        <w:rPr>
          <w:sz w:val="24"/>
          <w:szCs w:val="24"/>
        </w:rPr>
      </w:pPr>
      <w:r w:rsidRPr="007861C1">
        <w:rPr>
          <w:b/>
          <w:bCs/>
          <w:sz w:val="24"/>
          <w:szCs w:val="24"/>
        </w:rPr>
        <w:t>Where:</w:t>
      </w:r>
      <w:r w:rsidRPr="007861C1">
        <w:rPr>
          <w:sz w:val="24"/>
          <w:szCs w:val="24"/>
        </w:rPr>
        <w:t xml:space="preserve"> </w:t>
      </w:r>
      <w:r w:rsidR="00D95BD8">
        <w:rPr>
          <w:sz w:val="24"/>
          <w:szCs w:val="24"/>
        </w:rPr>
        <w:t>i</w:t>
      </w:r>
      <w:r w:rsidR="401DB74E" w:rsidRPr="007861C1">
        <w:rPr>
          <w:sz w:val="24"/>
          <w:szCs w:val="24"/>
        </w:rPr>
        <w:t>n-person or virtual workshop</w:t>
      </w:r>
    </w:p>
    <w:p w14:paraId="653AFE3C" w14:textId="34DF2F5C" w:rsidR="005F6B23" w:rsidRPr="007861C1" w:rsidRDefault="00864EE4" w:rsidP="008C1745">
      <w:pPr>
        <w:spacing w:after="0" w:line="240" w:lineRule="auto"/>
        <w:ind w:left="360"/>
        <w:rPr>
          <w:sz w:val="24"/>
          <w:szCs w:val="24"/>
        </w:rPr>
      </w:pPr>
      <w:r>
        <w:rPr>
          <w:b/>
          <w:bCs/>
          <w:sz w:val="24"/>
          <w:szCs w:val="24"/>
        </w:rPr>
        <w:t>Suggested activity length</w:t>
      </w:r>
      <w:r w:rsidR="005F6B23" w:rsidRPr="007861C1">
        <w:rPr>
          <w:b/>
          <w:bCs/>
          <w:sz w:val="24"/>
          <w:szCs w:val="24"/>
        </w:rPr>
        <w:t>:</w:t>
      </w:r>
      <w:r w:rsidR="005F6B23" w:rsidRPr="007861C1">
        <w:rPr>
          <w:sz w:val="24"/>
          <w:szCs w:val="24"/>
        </w:rPr>
        <w:t xml:space="preserve"> </w:t>
      </w:r>
      <w:r w:rsidR="683FB819" w:rsidRPr="007861C1">
        <w:rPr>
          <w:sz w:val="24"/>
          <w:szCs w:val="24"/>
        </w:rPr>
        <w:t xml:space="preserve">1-2 </w:t>
      </w:r>
      <w:r w:rsidR="64D29264" w:rsidRPr="007861C1">
        <w:rPr>
          <w:sz w:val="24"/>
          <w:szCs w:val="24"/>
        </w:rPr>
        <w:t>hour</w:t>
      </w:r>
      <w:r w:rsidR="4E298436" w:rsidRPr="007861C1">
        <w:rPr>
          <w:sz w:val="24"/>
          <w:szCs w:val="24"/>
        </w:rPr>
        <w:t>s</w:t>
      </w:r>
    </w:p>
    <w:p w14:paraId="1AF8BBE7" w14:textId="1DBC9AF6" w:rsidR="005F6B23" w:rsidRDefault="005F6B23" w:rsidP="008C1745">
      <w:pPr>
        <w:spacing w:after="0" w:line="240" w:lineRule="auto"/>
        <w:ind w:left="360"/>
        <w:rPr>
          <w:sz w:val="24"/>
          <w:szCs w:val="24"/>
        </w:rPr>
      </w:pPr>
      <w:r w:rsidRPr="7597EA8D">
        <w:rPr>
          <w:b/>
          <w:bCs/>
          <w:sz w:val="24"/>
          <w:szCs w:val="24"/>
        </w:rPr>
        <w:t>Materials:</w:t>
      </w:r>
      <w:r w:rsidRPr="7597EA8D">
        <w:rPr>
          <w:sz w:val="24"/>
          <w:szCs w:val="24"/>
        </w:rPr>
        <w:t xml:space="preserve"> </w:t>
      </w:r>
      <w:r w:rsidR="00D95BD8" w:rsidRPr="7597EA8D">
        <w:rPr>
          <w:sz w:val="24"/>
          <w:szCs w:val="24"/>
        </w:rPr>
        <w:t>c</w:t>
      </w:r>
      <w:r w:rsidR="0DE76E7B" w:rsidRPr="7597EA8D">
        <w:rPr>
          <w:sz w:val="24"/>
          <w:szCs w:val="24"/>
        </w:rPr>
        <w:t xml:space="preserve">ompleted </w:t>
      </w:r>
      <w:r w:rsidR="2F003566" w:rsidRPr="7597EA8D">
        <w:rPr>
          <w:sz w:val="24"/>
          <w:szCs w:val="24"/>
        </w:rPr>
        <w:t>indicator cards (</w:t>
      </w:r>
      <w:r w:rsidR="6D48DF91" w:rsidRPr="7597EA8D">
        <w:rPr>
          <w:sz w:val="24"/>
          <w:szCs w:val="24"/>
        </w:rPr>
        <w:t>printed or virtual</w:t>
      </w:r>
      <w:r w:rsidR="5FBF3D68" w:rsidRPr="7597EA8D">
        <w:rPr>
          <w:sz w:val="24"/>
          <w:szCs w:val="24"/>
        </w:rPr>
        <w:t xml:space="preserve">, see instructions </w:t>
      </w:r>
      <w:r w:rsidR="00A32381">
        <w:rPr>
          <w:sz w:val="24"/>
          <w:szCs w:val="24"/>
        </w:rPr>
        <w:t xml:space="preserve">in the Indicator Center </w:t>
      </w:r>
      <w:r w:rsidR="5FBF3D68" w:rsidRPr="7597EA8D">
        <w:rPr>
          <w:sz w:val="24"/>
          <w:szCs w:val="24"/>
        </w:rPr>
        <w:t>to prepare cards</w:t>
      </w:r>
      <w:r w:rsidR="6D48DF91" w:rsidRPr="7597EA8D">
        <w:rPr>
          <w:sz w:val="24"/>
          <w:szCs w:val="24"/>
        </w:rPr>
        <w:t>)</w:t>
      </w:r>
      <w:r w:rsidR="2F003566" w:rsidRPr="7597EA8D">
        <w:rPr>
          <w:sz w:val="24"/>
          <w:szCs w:val="24"/>
        </w:rPr>
        <w:t>, large tables</w:t>
      </w:r>
      <w:r w:rsidR="007861C1" w:rsidRPr="7597EA8D">
        <w:rPr>
          <w:sz w:val="24"/>
          <w:szCs w:val="24"/>
        </w:rPr>
        <w:t xml:space="preserve"> </w:t>
      </w:r>
      <w:r w:rsidR="2F003566" w:rsidRPr="7597EA8D">
        <w:rPr>
          <w:sz w:val="24"/>
          <w:szCs w:val="24"/>
        </w:rPr>
        <w:t>(in-person)</w:t>
      </w:r>
    </w:p>
    <w:p w14:paraId="14438C27" w14:textId="77777777" w:rsidR="00CC1713" w:rsidRDefault="00CC1713" w:rsidP="007F5B6B">
      <w:pPr>
        <w:spacing w:after="0" w:line="240" w:lineRule="auto"/>
        <w:rPr>
          <w:i/>
          <w:iCs/>
          <w:sz w:val="24"/>
          <w:szCs w:val="24"/>
        </w:rPr>
      </w:pPr>
    </w:p>
    <w:p w14:paraId="277AD33E" w14:textId="77777777" w:rsidR="00D70E6F" w:rsidRPr="005131D7" w:rsidRDefault="00D70E6F" w:rsidP="007F5B6B">
      <w:pPr>
        <w:keepNext/>
        <w:keepLines/>
        <w:spacing w:after="0" w:line="240" w:lineRule="auto"/>
        <w:outlineLvl w:val="0"/>
        <w:rPr>
          <w:rFonts w:ascii="Calibri Light" w:eastAsia="Yu Gothic Light" w:hAnsi="Calibri Light" w:cs="Times New Roman"/>
          <w:b/>
          <w:bCs/>
          <w:sz w:val="28"/>
          <w:szCs w:val="28"/>
        </w:rPr>
      </w:pPr>
      <w:bookmarkStart w:id="1" w:name="_Hlk181961773"/>
      <w:r w:rsidRPr="005131D7">
        <w:rPr>
          <w:rFonts w:ascii="Calibri Light" w:eastAsia="Yu Gothic Light" w:hAnsi="Calibri Light" w:cs="Times New Roman"/>
          <w:b/>
          <w:bCs/>
          <w:sz w:val="28"/>
          <w:szCs w:val="28"/>
        </w:rPr>
        <w:t>Output</w:t>
      </w:r>
    </w:p>
    <w:p w14:paraId="5147F369" w14:textId="13F93A59" w:rsidR="00D70E6F" w:rsidRDefault="00DD723D" w:rsidP="007F5B6B">
      <w:pPr>
        <w:spacing w:after="0" w:line="240" w:lineRule="auto"/>
        <w:rPr>
          <w:rFonts w:ascii="Calibri" w:eastAsia="Calibri" w:hAnsi="Calibri" w:cs="Arial"/>
          <w:sz w:val="24"/>
          <w:szCs w:val="24"/>
        </w:rPr>
      </w:pPr>
      <w:r>
        <w:rPr>
          <w:rFonts w:ascii="Calibri" w:eastAsia="Calibri" w:hAnsi="Calibri" w:cs="Arial"/>
          <w:sz w:val="24"/>
          <w:szCs w:val="24"/>
        </w:rPr>
        <w:t>Sorted hazard, equity, and resilience indicator</w:t>
      </w:r>
      <w:r w:rsidR="00350996">
        <w:rPr>
          <w:rFonts w:ascii="Calibri" w:eastAsia="Calibri" w:hAnsi="Calibri" w:cs="Arial"/>
          <w:sz w:val="24"/>
          <w:szCs w:val="24"/>
        </w:rPr>
        <w:t xml:space="preserve"> cards</w:t>
      </w:r>
      <w:r>
        <w:rPr>
          <w:rFonts w:ascii="Calibri" w:eastAsia="Calibri" w:hAnsi="Calibri" w:cs="Arial"/>
          <w:sz w:val="24"/>
          <w:szCs w:val="24"/>
        </w:rPr>
        <w:t xml:space="preserve"> to help assess where your community might focus their attention and prioritize goals.</w:t>
      </w:r>
    </w:p>
    <w:p w14:paraId="1A13D6B0" w14:textId="77777777" w:rsidR="00177F89" w:rsidRDefault="00177F89" w:rsidP="007F5B6B">
      <w:pPr>
        <w:spacing w:after="0" w:line="240" w:lineRule="auto"/>
        <w:rPr>
          <w:rFonts w:ascii="Calibri" w:eastAsia="Calibri" w:hAnsi="Calibri" w:cs="Arial"/>
          <w:sz w:val="24"/>
          <w:szCs w:val="24"/>
        </w:rPr>
      </w:pPr>
    </w:p>
    <w:bookmarkEnd w:id="1"/>
    <w:p w14:paraId="19F292BB" w14:textId="77777777" w:rsidR="00CC1713" w:rsidRDefault="00CC1713" w:rsidP="007F5B6B">
      <w:pPr>
        <w:spacing w:after="0" w:line="240" w:lineRule="auto"/>
        <w:rPr>
          <w:rFonts w:ascii="Calibri Light" w:eastAsia="Yu Gothic Light" w:hAnsi="Calibri Light" w:cs="Times New Roman"/>
          <w:b/>
          <w:bCs/>
          <w:sz w:val="28"/>
          <w:szCs w:val="28"/>
        </w:rPr>
      </w:pPr>
    </w:p>
    <w:p w14:paraId="452A3C26" w14:textId="77777777" w:rsidR="000A1EAC" w:rsidRDefault="000A1EAC" w:rsidP="007F5B6B">
      <w:pPr>
        <w:spacing w:after="0" w:line="240" w:lineRule="auto"/>
        <w:rPr>
          <w:rFonts w:ascii="Calibri Light" w:eastAsia="Yu Gothic Light" w:hAnsi="Calibri Light" w:cs="Times New Roman"/>
          <w:b/>
          <w:bCs/>
          <w:sz w:val="28"/>
          <w:szCs w:val="28"/>
        </w:rPr>
      </w:pPr>
    </w:p>
    <w:p w14:paraId="73D37146" w14:textId="77777777" w:rsidR="000A1EAC" w:rsidRDefault="000A1EAC" w:rsidP="007F5B6B">
      <w:pPr>
        <w:spacing w:after="0" w:line="240" w:lineRule="auto"/>
        <w:rPr>
          <w:rFonts w:ascii="Calibri Light" w:eastAsia="Yu Gothic Light" w:hAnsi="Calibri Light" w:cs="Times New Roman"/>
          <w:b/>
          <w:bCs/>
          <w:sz w:val="28"/>
          <w:szCs w:val="28"/>
        </w:rPr>
      </w:pPr>
    </w:p>
    <w:p w14:paraId="457099AA" w14:textId="77777777" w:rsidR="000A1EAC" w:rsidRDefault="000A1EAC" w:rsidP="007F5B6B">
      <w:pPr>
        <w:spacing w:after="0" w:line="240" w:lineRule="auto"/>
        <w:rPr>
          <w:rFonts w:ascii="Calibri Light" w:eastAsia="Yu Gothic Light" w:hAnsi="Calibri Light" w:cs="Times New Roman"/>
          <w:b/>
          <w:bCs/>
          <w:sz w:val="28"/>
          <w:szCs w:val="28"/>
        </w:rPr>
      </w:pPr>
    </w:p>
    <w:p w14:paraId="77D2CF53" w14:textId="77777777" w:rsidR="000A1EAC" w:rsidRPr="00CC1713" w:rsidRDefault="000A1EAC" w:rsidP="007F5B6B">
      <w:pPr>
        <w:spacing w:after="0" w:line="240" w:lineRule="auto"/>
        <w:rPr>
          <w:sz w:val="24"/>
          <w:szCs w:val="24"/>
        </w:rPr>
      </w:pPr>
    </w:p>
    <w:p w14:paraId="008D9BEC" w14:textId="412D678D" w:rsidR="007861C1" w:rsidRDefault="007861C1" w:rsidP="007F5B6B">
      <w:pPr>
        <w:spacing w:after="0" w:line="240" w:lineRule="auto"/>
        <w:ind w:firstLine="720"/>
        <w:rPr>
          <w:sz w:val="24"/>
          <w:szCs w:val="24"/>
        </w:rPr>
      </w:pPr>
    </w:p>
    <w:p w14:paraId="45D6AAE8" w14:textId="2956A2E5" w:rsidR="003F558F" w:rsidRDefault="003F558F" w:rsidP="007F5B6B">
      <w:pPr>
        <w:spacing w:after="0" w:line="240" w:lineRule="auto"/>
        <w:ind w:firstLine="720"/>
        <w:rPr>
          <w:sz w:val="24"/>
          <w:szCs w:val="24"/>
        </w:rPr>
      </w:pPr>
    </w:p>
    <w:p w14:paraId="366BD994" w14:textId="79F6CAAD" w:rsidR="003F558F" w:rsidRDefault="003F558F" w:rsidP="007F5B6B">
      <w:pPr>
        <w:spacing w:after="0" w:line="240" w:lineRule="auto"/>
        <w:ind w:firstLine="720"/>
        <w:rPr>
          <w:sz w:val="24"/>
          <w:szCs w:val="24"/>
        </w:rPr>
      </w:pPr>
    </w:p>
    <w:p w14:paraId="6882723B" w14:textId="478A0D57" w:rsidR="003F558F" w:rsidRDefault="003F558F" w:rsidP="007F5B6B">
      <w:pPr>
        <w:spacing w:after="0" w:line="240" w:lineRule="auto"/>
        <w:ind w:firstLine="720"/>
        <w:rPr>
          <w:sz w:val="24"/>
          <w:szCs w:val="24"/>
        </w:rPr>
      </w:pPr>
    </w:p>
    <w:p w14:paraId="2F3AE33A" w14:textId="7CB973D5" w:rsidR="00EA2964" w:rsidRDefault="00EA2964" w:rsidP="007F5B6B">
      <w:pPr>
        <w:spacing w:after="0" w:line="240" w:lineRule="auto"/>
        <w:ind w:firstLine="720"/>
        <w:rPr>
          <w:sz w:val="24"/>
          <w:szCs w:val="24"/>
        </w:rPr>
      </w:pPr>
    </w:p>
    <w:p w14:paraId="0E806E45" w14:textId="1322AADF" w:rsidR="00EA2964" w:rsidRDefault="00EA2964" w:rsidP="007F5B6B">
      <w:pPr>
        <w:spacing w:after="0" w:line="240" w:lineRule="auto"/>
        <w:ind w:firstLine="720"/>
        <w:rPr>
          <w:sz w:val="24"/>
          <w:szCs w:val="24"/>
        </w:rPr>
      </w:pPr>
    </w:p>
    <w:p w14:paraId="264797CE" w14:textId="19CF434C" w:rsidR="00EA2964" w:rsidRDefault="00EA2964" w:rsidP="007F5B6B">
      <w:pPr>
        <w:spacing w:after="0" w:line="240" w:lineRule="auto"/>
        <w:ind w:firstLine="720"/>
        <w:rPr>
          <w:sz w:val="24"/>
          <w:szCs w:val="24"/>
        </w:rPr>
      </w:pPr>
    </w:p>
    <w:p w14:paraId="08626D06" w14:textId="5A099757" w:rsidR="00EA2964" w:rsidRDefault="00EA2964" w:rsidP="007F5B6B">
      <w:pPr>
        <w:spacing w:after="0" w:line="240" w:lineRule="auto"/>
        <w:ind w:firstLine="720"/>
        <w:rPr>
          <w:sz w:val="24"/>
          <w:szCs w:val="24"/>
        </w:rPr>
      </w:pPr>
    </w:p>
    <w:p w14:paraId="07CF1A39" w14:textId="553B8CC9" w:rsidR="00EA2964" w:rsidRDefault="00EA2964" w:rsidP="007F5B6B">
      <w:pPr>
        <w:spacing w:after="0" w:line="240" w:lineRule="auto"/>
        <w:ind w:firstLine="720"/>
        <w:rPr>
          <w:sz w:val="24"/>
          <w:szCs w:val="24"/>
        </w:rPr>
      </w:pPr>
    </w:p>
    <w:p w14:paraId="068D8F98" w14:textId="2D5D1191" w:rsidR="00EA2964" w:rsidRDefault="00EA2964" w:rsidP="007F5B6B">
      <w:pPr>
        <w:spacing w:after="0" w:line="240" w:lineRule="auto"/>
        <w:ind w:firstLine="720"/>
        <w:rPr>
          <w:sz w:val="24"/>
          <w:szCs w:val="24"/>
        </w:rPr>
      </w:pPr>
    </w:p>
    <w:p w14:paraId="15E4800F" w14:textId="45958633" w:rsidR="00EA2964" w:rsidRDefault="00EA2964" w:rsidP="007F5B6B">
      <w:pPr>
        <w:spacing w:after="0" w:line="240" w:lineRule="auto"/>
        <w:ind w:firstLine="720"/>
        <w:rPr>
          <w:sz w:val="24"/>
          <w:szCs w:val="24"/>
        </w:rPr>
      </w:pPr>
    </w:p>
    <w:p w14:paraId="0E389452" w14:textId="65210AE0" w:rsidR="00EA2964" w:rsidRDefault="00EA2964" w:rsidP="007F5B6B">
      <w:pPr>
        <w:spacing w:after="0" w:line="240" w:lineRule="auto"/>
        <w:ind w:firstLine="720"/>
        <w:rPr>
          <w:sz w:val="24"/>
          <w:szCs w:val="24"/>
        </w:rPr>
      </w:pPr>
    </w:p>
    <w:p w14:paraId="72DB8DC6" w14:textId="3DC0BB73" w:rsidR="00EA2964" w:rsidRPr="007861C1" w:rsidRDefault="00EA2964" w:rsidP="007F5B6B">
      <w:pPr>
        <w:spacing w:after="0" w:line="240" w:lineRule="auto"/>
        <w:rPr>
          <w:sz w:val="24"/>
          <w:szCs w:val="24"/>
        </w:rPr>
      </w:pPr>
    </w:p>
    <w:p w14:paraId="4558D00B" w14:textId="4B0110A4" w:rsidR="00893BDB" w:rsidRPr="00893BDB" w:rsidRDefault="00893BDB" w:rsidP="007F5B6B">
      <w:pPr>
        <w:pStyle w:val="Title"/>
        <w:rPr>
          <w:rFonts w:ascii="Calibri Light" w:eastAsia="Calibri Light" w:hAnsi="Calibri Light" w:cs="Calibri Light"/>
          <w:b/>
          <w:bCs/>
          <w:spacing w:val="0"/>
          <w:kern w:val="0"/>
          <w:szCs w:val="48"/>
        </w:rPr>
      </w:pPr>
      <w:r w:rsidRPr="00F96304">
        <w:rPr>
          <w:rFonts w:ascii="Calibri Light" w:eastAsia="Calibri Light" w:hAnsi="Calibri Light" w:cs="Calibri Light"/>
          <w:b/>
          <w:bCs/>
          <w:spacing w:val="0"/>
          <w:kern w:val="0"/>
          <w:szCs w:val="48"/>
        </w:rPr>
        <w:lastRenderedPageBreak/>
        <w:t>Indicator Activity Instructions</w:t>
      </w:r>
    </w:p>
    <w:p w14:paraId="4A36D136" w14:textId="689C0AD7" w:rsidR="5FCA5BE7" w:rsidRPr="00893BDB" w:rsidRDefault="5FCA5BE7" w:rsidP="007F5B6B">
      <w:pPr>
        <w:pStyle w:val="Heading2"/>
        <w:spacing w:before="0" w:line="240" w:lineRule="auto"/>
        <w:rPr>
          <w:sz w:val="32"/>
          <w:szCs w:val="28"/>
        </w:rPr>
      </w:pPr>
      <w:r w:rsidRPr="00893BDB">
        <w:rPr>
          <w:sz w:val="32"/>
          <w:szCs w:val="28"/>
        </w:rPr>
        <w:t>Instructions</w:t>
      </w:r>
    </w:p>
    <w:p w14:paraId="285DFFBA" w14:textId="1FECD287" w:rsidR="2CB3E223" w:rsidRPr="00893BDB" w:rsidRDefault="2CB3E223" w:rsidP="007F5B6B">
      <w:pPr>
        <w:spacing w:after="0" w:line="240" w:lineRule="auto"/>
        <w:rPr>
          <w:b/>
          <w:bCs/>
          <w:sz w:val="20"/>
          <w:szCs w:val="20"/>
        </w:rPr>
      </w:pPr>
    </w:p>
    <w:p w14:paraId="78EA8C48" w14:textId="288F1A92" w:rsidR="00244140" w:rsidRDefault="005D6C84" w:rsidP="00244140">
      <w:pPr>
        <w:pStyle w:val="ListParagraph"/>
        <w:numPr>
          <w:ilvl w:val="0"/>
          <w:numId w:val="3"/>
        </w:numPr>
      </w:pPr>
      <w:r w:rsidRPr="00CB4CA8">
        <w:rPr>
          <w:noProof/>
        </w:rPr>
        <mc:AlternateContent>
          <mc:Choice Requires="wpg">
            <w:drawing>
              <wp:anchor distT="45720" distB="45720" distL="182880" distR="182880" simplePos="0" relativeHeight="251658240" behindDoc="0" locked="0" layoutInCell="1" allowOverlap="1" wp14:anchorId="494AC2EB" wp14:editId="0ADA7065">
                <wp:simplePos x="0" y="0"/>
                <wp:positionH relativeFrom="margin">
                  <wp:posOffset>4119245</wp:posOffset>
                </wp:positionH>
                <wp:positionV relativeFrom="margin">
                  <wp:posOffset>738505</wp:posOffset>
                </wp:positionV>
                <wp:extent cx="1732280" cy="1549400"/>
                <wp:effectExtent l="0" t="0" r="1270" b="12700"/>
                <wp:wrapSquare wrapText="bothSides"/>
                <wp:docPr id="198" name="Group 64"/>
                <wp:cNvGraphicFramePr/>
                <a:graphic xmlns:a="http://schemas.openxmlformats.org/drawingml/2006/main">
                  <a:graphicData uri="http://schemas.microsoft.com/office/word/2010/wordprocessingGroup">
                    <wpg:wgp>
                      <wpg:cNvGrpSpPr/>
                      <wpg:grpSpPr>
                        <a:xfrm>
                          <a:off x="0" y="0"/>
                          <a:ext cx="1732280" cy="1549400"/>
                          <a:chOff x="0" y="-1"/>
                          <a:chExt cx="3567448" cy="1368543"/>
                        </a:xfrm>
                      </wpg:grpSpPr>
                      <wps:wsp>
                        <wps:cNvPr id="199" name="Rectangle 199"/>
                        <wps:cNvSpPr/>
                        <wps:spPr>
                          <a:xfrm>
                            <a:off x="0" y="-1"/>
                            <a:ext cx="3567448" cy="327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BDB6C6" w14:textId="3095B8F9" w:rsidR="00CB4CA8" w:rsidRDefault="007E7333" w:rsidP="007E7333">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noProof/>
                                  <w:color w:val="FFFFFF" w:themeColor="background1"/>
                                  <w:sz w:val="24"/>
                                  <w:szCs w:val="28"/>
                                </w:rPr>
                                <w:drawing>
                                  <wp:inline distT="0" distB="0" distL="0" distR="0" wp14:anchorId="3761FEEA" wp14:editId="764B8B25">
                                    <wp:extent cx="166370" cy="166370"/>
                                    <wp:effectExtent l="0" t="0" r="5080" b="5080"/>
                                    <wp:docPr id="49175110" name="Graphic 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69259" name="Graphic 915969259" descr="Lights On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66370" cy="16637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sidRPr="007D5541">
                                <w:rPr>
                                  <w:rFonts w:asciiTheme="majorHAnsi" w:eastAsiaTheme="majorEastAsia" w:hAnsiTheme="majorHAnsi" w:cstheme="majorBidi"/>
                                  <w:b/>
                                  <w:bCs/>
                                  <w:color w:val="FFFFFF" w:themeColor="background1"/>
                                  <w:sz w:val="24"/>
                                  <w:szCs w:val="28"/>
                                </w:rPr>
                                <w:t>Tip</w:t>
                              </w:r>
                              <w:r>
                                <w:rPr>
                                  <w:rFonts w:asciiTheme="majorHAnsi" w:eastAsiaTheme="majorEastAsia" w:hAnsiTheme="majorHAnsi" w:cstheme="majorBidi"/>
                                  <w:color w:val="FFFFFF" w:themeColor="background1"/>
                                  <w:sz w:val="24"/>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0"/>
                            <a:ext cx="3567448" cy="1115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9CAD55" w14:textId="77777777" w:rsidR="006511E4" w:rsidRPr="00232419" w:rsidRDefault="006511E4" w:rsidP="006511E4">
                              <w:pPr>
                                <w:pBdr>
                                  <w:bottom w:val="single" w:sz="6" w:space="1" w:color="auto"/>
                                </w:pBdr>
                                <w:rPr>
                                  <w:sz w:val="16"/>
                                  <w:szCs w:val="16"/>
                                </w:rPr>
                              </w:pPr>
                              <w:r>
                                <w:rPr>
                                  <w:sz w:val="16"/>
                                  <w:szCs w:val="16"/>
                                </w:rPr>
                                <w:t>Start</w:t>
                              </w:r>
                              <w:r w:rsidRPr="001179BF">
                                <w:rPr>
                                  <w:sz w:val="16"/>
                                  <w:szCs w:val="16"/>
                                </w:rPr>
                                <w:t xml:space="preserve"> with a small set of indicators based on topics brought up in previous community storytelling exercises. </w:t>
                              </w:r>
                              <w:r>
                                <w:rPr>
                                  <w:sz w:val="16"/>
                                  <w:szCs w:val="16"/>
                                </w:rPr>
                                <w:t>New indicators</w:t>
                              </w:r>
                              <w:r w:rsidRPr="001179BF">
                                <w:rPr>
                                  <w:sz w:val="16"/>
                                  <w:szCs w:val="16"/>
                                </w:rPr>
                                <w:t xml:space="preserve"> can be added at any time</w:t>
                              </w:r>
                              <w:r>
                                <w:rPr>
                                  <w:sz w:val="16"/>
                                  <w:szCs w:val="16"/>
                                </w:rPr>
                                <w:t>.</w:t>
                              </w:r>
                            </w:p>
                            <w:p w14:paraId="32032161" w14:textId="0D360CFB" w:rsidR="00CB4CA8" w:rsidRPr="007D5541" w:rsidRDefault="00CB4CA8" w:rsidP="00BA0095">
                              <w:pPr>
                                <w:spacing w:after="0" w:line="240" w:lineRule="auto"/>
                                <w:rPr>
                                  <w:rFonts w:ascii="Calibri" w:eastAsia="Calibri" w:hAnsi="Calibri" w:cs="Calibri"/>
                                  <w:sz w:val="18"/>
                                  <w:szCs w:val="1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4AC2EB" id="Group 64" o:spid="_x0000_s1026" style="position:absolute;left:0;text-align:left;margin-left:324.35pt;margin-top:58.15pt;width:136.4pt;height:122pt;z-index:251658240;mso-wrap-distance-left:14.4pt;mso-wrap-distance-top:3.6pt;mso-wrap-distance-right:14.4pt;mso-wrap-distance-bottom:3.6pt;mso-position-horizontal-relative:margin;mso-position-vertical-relative:margin;mso-width-relative:margin;mso-height-relative:margin" coordorigin="" coordsize="35674,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">
                <v:rect id="Rectangle 199" o:spid="_x0000_s1027" style="position:absolute;width:35674;height: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1CBDB6C6" w14:textId="3095B8F9" w:rsidR="00CB4CA8" w:rsidRDefault="007E7333" w:rsidP="007E7333">
                        <w:pPr>
                          <w:rPr>
                            <w:rFonts w:asciiTheme="majorHAnsi" w:eastAsiaTheme="majorEastAsia" w:hAnsiTheme="majorHAnsi" w:cstheme="majorBidi"/>
                            <w:color w:val="FFFFFF" w:themeColor="background1"/>
                            <w:sz w:val="24"/>
                            <w:szCs w:val="28"/>
                          </w:rPr>
                        </w:pPr>
                        <w:r>
                          <w:rPr>
                            <w:rFonts w:asciiTheme="majorHAnsi" w:eastAsiaTheme="majorEastAsia" w:hAnsiTheme="majorHAnsi" w:cstheme="majorBidi"/>
                            <w:noProof/>
                            <w:color w:val="FFFFFF" w:themeColor="background1"/>
                            <w:sz w:val="24"/>
                            <w:szCs w:val="28"/>
                          </w:rPr>
                          <w:drawing>
                            <wp:inline distT="0" distB="0" distL="0" distR="0" wp14:anchorId="3761FEEA" wp14:editId="764B8B25">
                              <wp:extent cx="166370" cy="166370"/>
                              <wp:effectExtent l="0" t="0" r="5080" b="5080"/>
                              <wp:docPr id="49175110" name="Graphic 1"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969259" name="Graphic 915969259" descr="Lights On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66370" cy="166370"/>
                                      </a:xfrm>
                                      <a:prstGeom prst="rect">
                                        <a:avLst/>
                                      </a:prstGeom>
                                    </pic:spPr>
                                  </pic:pic>
                                </a:graphicData>
                              </a:graphic>
                            </wp:inline>
                          </w:drawing>
                        </w:r>
                        <w:r>
                          <w:rPr>
                            <w:rFonts w:asciiTheme="majorHAnsi" w:eastAsiaTheme="majorEastAsia" w:hAnsiTheme="majorHAnsi" w:cstheme="majorBidi"/>
                            <w:color w:val="FFFFFF" w:themeColor="background1"/>
                            <w:sz w:val="24"/>
                            <w:szCs w:val="28"/>
                          </w:rPr>
                          <w:t xml:space="preserve"> </w:t>
                        </w:r>
                        <w:r w:rsidRPr="007D5541">
                          <w:rPr>
                            <w:rFonts w:asciiTheme="majorHAnsi" w:eastAsiaTheme="majorEastAsia" w:hAnsiTheme="majorHAnsi" w:cstheme="majorBidi"/>
                            <w:b/>
                            <w:bCs/>
                            <w:color w:val="FFFFFF" w:themeColor="background1"/>
                            <w:sz w:val="24"/>
                            <w:szCs w:val="28"/>
                          </w:rPr>
                          <w:t>Tip</w:t>
                        </w:r>
                        <w:r>
                          <w:rPr>
                            <w:rFonts w:asciiTheme="majorHAnsi" w:eastAsiaTheme="majorEastAsia" w:hAnsiTheme="majorHAnsi" w:cstheme="majorBidi"/>
                            <w:color w:val="FFFFFF" w:themeColor="background1"/>
                            <w:sz w:val="24"/>
                            <w:szCs w:val="28"/>
                          </w:rPr>
                          <w:t xml:space="preserve">: </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6D9CAD55" w14:textId="77777777" w:rsidR="006511E4" w:rsidRPr="00232419" w:rsidRDefault="006511E4" w:rsidP="006511E4">
                        <w:pPr>
                          <w:pBdr>
                            <w:bottom w:val="single" w:sz="6" w:space="1" w:color="auto"/>
                          </w:pBdr>
                          <w:rPr>
                            <w:sz w:val="16"/>
                            <w:szCs w:val="16"/>
                          </w:rPr>
                        </w:pPr>
                        <w:r>
                          <w:rPr>
                            <w:sz w:val="16"/>
                            <w:szCs w:val="16"/>
                          </w:rPr>
                          <w:t>Start</w:t>
                        </w:r>
                        <w:r w:rsidRPr="001179BF">
                          <w:rPr>
                            <w:sz w:val="16"/>
                            <w:szCs w:val="16"/>
                          </w:rPr>
                          <w:t xml:space="preserve"> with a small set of indicators based on topics brought up in previous community storytelling exercises. </w:t>
                        </w:r>
                        <w:r>
                          <w:rPr>
                            <w:sz w:val="16"/>
                            <w:szCs w:val="16"/>
                          </w:rPr>
                          <w:t>New indicators</w:t>
                        </w:r>
                        <w:r w:rsidRPr="001179BF">
                          <w:rPr>
                            <w:sz w:val="16"/>
                            <w:szCs w:val="16"/>
                          </w:rPr>
                          <w:t xml:space="preserve"> can be added at any time</w:t>
                        </w:r>
                        <w:r>
                          <w:rPr>
                            <w:sz w:val="16"/>
                            <w:szCs w:val="16"/>
                          </w:rPr>
                          <w:t>.</w:t>
                        </w:r>
                      </w:p>
                      <w:p w14:paraId="32032161" w14:textId="0D360CFB" w:rsidR="00CB4CA8" w:rsidRPr="007D5541" w:rsidRDefault="00CB4CA8" w:rsidP="00BA0095">
                        <w:pPr>
                          <w:spacing w:after="0" w:line="240" w:lineRule="auto"/>
                          <w:rPr>
                            <w:rFonts w:ascii="Calibri" w:eastAsia="Calibri" w:hAnsi="Calibri" w:cs="Calibri"/>
                            <w:sz w:val="18"/>
                            <w:szCs w:val="18"/>
                          </w:rPr>
                        </w:pPr>
                      </w:p>
                    </w:txbxContent>
                  </v:textbox>
                </v:shape>
                <w10:wrap type="square" anchorx="margin" anchory="margin"/>
              </v:group>
            </w:pict>
          </mc:Fallback>
        </mc:AlternateContent>
      </w:r>
      <w:r w:rsidR="06370FE4" w:rsidRPr="007861C1">
        <w:rPr>
          <w:b/>
          <w:bCs/>
        </w:rPr>
        <w:t>(Core team)</w:t>
      </w:r>
      <w:r w:rsidR="06370FE4" w:rsidRPr="007861C1">
        <w:t xml:space="preserve">: </w:t>
      </w:r>
      <w:r w:rsidR="00244140">
        <w:t xml:space="preserve">Create indicator cards using the template at the end of this document to use in the activity. The ERB downloadable tool has a list of suggested resilience indicators for the social, built, and natural environment such as: </w:t>
      </w:r>
    </w:p>
    <w:p w14:paraId="055C2A7C" w14:textId="5CAB7CCE" w:rsidR="00244140" w:rsidRDefault="00244140" w:rsidP="00244140">
      <w:pPr>
        <w:pStyle w:val="ListParagraph"/>
        <w:numPr>
          <w:ilvl w:val="0"/>
          <w:numId w:val="10"/>
        </w:numPr>
      </w:pPr>
      <w:r>
        <w:rPr>
          <w:noProof/>
        </w:rPr>
        <w:t>Multi</w:t>
      </w:r>
      <w:r>
        <w:t>-lingual disaster communication (social environment)</w:t>
      </w:r>
    </w:p>
    <w:p w14:paraId="5B23D484" w14:textId="6E5E88A0" w:rsidR="00244140" w:rsidRDefault="00244140" w:rsidP="00244140">
      <w:pPr>
        <w:pStyle w:val="ListParagraph"/>
        <w:numPr>
          <w:ilvl w:val="0"/>
          <w:numId w:val="10"/>
        </w:numPr>
      </w:pPr>
      <w:r>
        <w:t>Access to cooling spaces (built environment)</w:t>
      </w:r>
    </w:p>
    <w:p w14:paraId="63D5B315" w14:textId="77777777" w:rsidR="00244140" w:rsidRDefault="00244140" w:rsidP="00244140">
      <w:pPr>
        <w:pStyle w:val="ListParagraph"/>
        <w:numPr>
          <w:ilvl w:val="0"/>
          <w:numId w:val="10"/>
        </w:numPr>
      </w:pPr>
      <w:r>
        <w:t>Parks, green spaces and blue spaces (natural environment)</w:t>
      </w:r>
    </w:p>
    <w:p w14:paraId="2329BE48" w14:textId="77777777" w:rsidR="00244140" w:rsidRPr="00244140" w:rsidRDefault="00244140" w:rsidP="00244140">
      <w:pPr>
        <w:ind w:left="720"/>
        <w:rPr>
          <w:rFonts w:ascii="Calibri" w:eastAsia="Malgun Gothic" w:hAnsi="Calibri" w:cs="Calibri"/>
          <w:color w:val="000000"/>
          <w:position w:val="2"/>
          <w:sz w:val="24"/>
          <w:szCs w:val="24"/>
        </w:rPr>
      </w:pPr>
      <w:r w:rsidRPr="00244140">
        <w:rPr>
          <w:rFonts w:ascii="Calibri" w:eastAsia="Malgun Gothic" w:hAnsi="Calibri" w:cs="Calibri"/>
          <w:color w:val="000000"/>
          <w:position w:val="2"/>
          <w:sz w:val="24"/>
          <w:szCs w:val="24"/>
        </w:rPr>
        <w:t xml:space="preserve">You can also develop your own indicators based on key community concerns that you have learned about in the other Assess activities like storytelling or mapping, or based on data you have collected on hazards and equity. </w:t>
      </w:r>
    </w:p>
    <w:p w14:paraId="7FC0B324" w14:textId="5FA416EA" w:rsidR="00244140" w:rsidRDefault="00244140" w:rsidP="00244140">
      <w:pPr>
        <w:ind w:left="720"/>
        <w:rPr>
          <w:rFonts w:ascii="Calibri" w:eastAsia="Malgun Gothic" w:hAnsi="Calibri" w:cs="Calibri"/>
          <w:color w:val="000000"/>
          <w:position w:val="2"/>
          <w:sz w:val="24"/>
          <w:szCs w:val="24"/>
        </w:rPr>
      </w:pPr>
      <w:r w:rsidRPr="00244140">
        <w:rPr>
          <w:rFonts w:ascii="Calibri" w:eastAsia="Malgun Gothic" w:hAnsi="Calibri" w:cs="Calibri"/>
          <w:color w:val="000000"/>
          <w:position w:val="2"/>
          <w:sz w:val="24"/>
          <w:szCs w:val="24"/>
        </w:rPr>
        <w:t xml:space="preserve">Once you have the list of indicators you would like to use, fill out the cards with any data or information you have. Include a description or definition of the indicator that is understandable to community members. If you have access to any data or local information about the indicator you can include it on the card as well. If you don’t have any further information leave those spaces blank. </w:t>
      </w:r>
    </w:p>
    <w:p w14:paraId="269F2E5F" w14:textId="1510A230" w:rsidR="00131F07" w:rsidRPr="00244140" w:rsidRDefault="00131F07" w:rsidP="00244140">
      <w:pPr>
        <w:ind w:left="720"/>
        <w:rPr>
          <w:rFonts w:ascii="Calibri" w:eastAsia="Malgun Gothic" w:hAnsi="Calibri" w:cs="Calibri"/>
          <w:color w:val="000000"/>
          <w:position w:val="2"/>
          <w:sz w:val="24"/>
          <w:szCs w:val="24"/>
        </w:rPr>
      </w:pPr>
      <w:r>
        <w:rPr>
          <w:rFonts w:ascii="Calibri" w:eastAsia="Malgun Gothic" w:hAnsi="Calibri" w:cs="Calibri"/>
          <w:color w:val="000000"/>
          <w:position w:val="2"/>
          <w:sz w:val="24"/>
          <w:szCs w:val="24"/>
        </w:rPr>
        <w:t xml:space="preserve">Print out the cards </w:t>
      </w:r>
      <w:r w:rsidRPr="00131F07">
        <w:rPr>
          <w:rFonts w:ascii="Calibri" w:eastAsia="Malgun Gothic" w:hAnsi="Calibri" w:cs="Calibri"/>
          <w:color w:val="000000"/>
          <w:position w:val="2"/>
          <w:sz w:val="24"/>
          <w:szCs w:val="24"/>
          <w:highlight w:val="yellow"/>
        </w:rPr>
        <w:t>(size?)</w:t>
      </w:r>
      <w:r>
        <w:rPr>
          <w:rFonts w:ascii="Calibri" w:eastAsia="Malgun Gothic" w:hAnsi="Calibri" w:cs="Calibri"/>
          <w:color w:val="000000"/>
          <w:position w:val="2"/>
          <w:sz w:val="24"/>
          <w:szCs w:val="24"/>
        </w:rPr>
        <w:t xml:space="preserve"> and bring them to the workshop. </w:t>
      </w:r>
    </w:p>
    <w:p w14:paraId="50E00617" w14:textId="393B686C" w:rsidR="51242544" w:rsidRPr="007861C1" w:rsidRDefault="51242544" w:rsidP="007F5B6B">
      <w:pPr>
        <w:pStyle w:val="ListParagraph"/>
        <w:numPr>
          <w:ilvl w:val="0"/>
          <w:numId w:val="3"/>
        </w:numPr>
        <w:rPr>
          <w:sz w:val="28"/>
          <w:szCs w:val="28"/>
        </w:rPr>
      </w:pPr>
      <w:r w:rsidRPr="007861C1">
        <w:rPr>
          <w:rFonts w:eastAsia="Calibri"/>
          <w:b/>
          <w:bCs/>
          <w:color w:val="000000" w:themeColor="text1"/>
        </w:rPr>
        <w:t>(</w:t>
      </w:r>
      <w:r w:rsidR="15B2271D" w:rsidRPr="007861C1">
        <w:rPr>
          <w:rFonts w:eastAsia="Calibri"/>
          <w:b/>
          <w:bCs/>
          <w:color w:val="000000" w:themeColor="text1"/>
        </w:rPr>
        <w:t>Community members</w:t>
      </w:r>
      <w:r w:rsidRPr="007861C1">
        <w:rPr>
          <w:rFonts w:eastAsia="Calibri"/>
          <w:b/>
          <w:bCs/>
          <w:color w:val="000000" w:themeColor="text1"/>
        </w:rPr>
        <w:t>):</w:t>
      </w:r>
      <w:r w:rsidRPr="007861C1">
        <w:rPr>
          <w:rFonts w:eastAsia="Calibri"/>
          <w:color w:val="000000" w:themeColor="text1"/>
        </w:rPr>
        <w:t xml:space="preserve"> </w:t>
      </w:r>
      <w:r w:rsidR="17002D18" w:rsidRPr="007861C1">
        <w:rPr>
          <w:rFonts w:eastAsia="Calibri"/>
          <w:color w:val="000000" w:themeColor="text1"/>
        </w:rPr>
        <w:t xml:space="preserve">Divide into breakout groups for each of the resilience systems (built, natural, and social). Make sure the indicator cards in your group correspond to the same resilience system. </w:t>
      </w:r>
    </w:p>
    <w:p w14:paraId="29C79F39" w14:textId="6C7C956A" w:rsidR="68317EFF" w:rsidRPr="007861C1" w:rsidRDefault="68317EFF" w:rsidP="007F5B6B">
      <w:pPr>
        <w:pStyle w:val="ListParagraph"/>
        <w:numPr>
          <w:ilvl w:val="0"/>
          <w:numId w:val="3"/>
        </w:numPr>
        <w:rPr>
          <w:sz w:val="28"/>
          <w:szCs w:val="28"/>
        </w:rPr>
      </w:pPr>
      <w:r w:rsidRPr="03FD8ECE">
        <w:rPr>
          <w:rFonts w:eastAsia="Calibri"/>
          <w:b/>
          <w:bCs/>
          <w:color w:val="000000" w:themeColor="text1"/>
        </w:rPr>
        <w:t>(Breakout groups)</w:t>
      </w:r>
      <w:r w:rsidRPr="03FD8ECE">
        <w:rPr>
          <w:rFonts w:eastAsia="Calibri"/>
          <w:color w:val="000000" w:themeColor="text1"/>
        </w:rPr>
        <w:t>: As a group, arrange cards along a horizontal line f</w:t>
      </w:r>
      <w:r w:rsidR="07BB3752" w:rsidRPr="03FD8ECE">
        <w:rPr>
          <w:rFonts w:eastAsia="Calibri"/>
          <w:color w:val="000000" w:themeColor="text1"/>
        </w:rPr>
        <w:t>rom</w:t>
      </w:r>
      <w:r w:rsidRPr="03FD8ECE">
        <w:rPr>
          <w:rFonts w:eastAsia="Calibri"/>
          <w:color w:val="000000" w:themeColor="text1"/>
        </w:rPr>
        <w:t xml:space="preserve"> least to most resilient as shown in the image below.</w:t>
      </w:r>
    </w:p>
    <w:p w14:paraId="32FE842E" w14:textId="6A746C04" w:rsidR="1E3DCA52" w:rsidRPr="007861C1" w:rsidRDefault="1E3DCA52" w:rsidP="007F5B6B">
      <w:pPr>
        <w:pStyle w:val="ListParagraph"/>
        <w:numPr>
          <w:ilvl w:val="1"/>
          <w:numId w:val="3"/>
        </w:numPr>
        <w:rPr>
          <w:rFonts w:eastAsia="Calibri"/>
          <w:color w:val="000000" w:themeColor="text1"/>
        </w:rPr>
      </w:pPr>
      <w:r w:rsidRPr="007861C1">
        <w:rPr>
          <w:rFonts w:eastAsia="Calibri"/>
          <w:color w:val="000000" w:themeColor="text1"/>
          <w:u w:val="single"/>
        </w:rPr>
        <w:t>Less resilient</w:t>
      </w:r>
      <w:r w:rsidR="39E684CB" w:rsidRPr="007861C1">
        <w:rPr>
          <w:rFonts w:eastAsia="Calibri"/>
          <w:color w:val="000000" w:themeColor="text1"/>
        </w:rPr>
        <w:t xml:space="preserve">: </w:t>
      </w:r>
      <w:r w:rsidRPr="007861C1">
        <w:rPr>
          <w:rFonts w:eastAsia="Calibri"/>
          <w:color w:val="000000" w:themeColor="text1"/>
        </w:rPr>
        <w:t xml:space="preserve">Very vulnerable/susceptible to damage or disruption and would likely take a long time to recover from a shock.  </w:t>
      </w:r>
    </w:p>
    <w:p w14:paraId="105FFFF0" w14:textId="2D59EAA3" w:rsidR="00073E8E" w:rsidRDefault="1E3DCA52" w:rsidP="007F5B6B">
      <w:pPr>
        <w:pStyle w:val="ListParagraph"/>
        <w:numPr>
          <w:ilvl w:val="1"/>
          <w:numId w:val="3"/>
        </w:numPr>
        <w:rPr>
          <w:rFonts w:eastAsia="Calibri"/>
          <w:color w:val="000000" w:themeColor="text1"/>
        </w:rPr>
      </w:pPr>
      <w:r w:rsidRPr="007861C1">
        <w:rPr>
          <w:rFonts w:eastAsia="Calibri"/>
          <w:color w:val="000000" w:themeColor="text1"/>
          <w:u w:val="single"/>
        </w:rPr>
        <w:t>More resilient</w:t>
      </w:r>
      <w:r w:rsidR="1CE8E2B7" w:rsidRPr="007861C1">
        <w:rPr>
          <w:rFonts w:eastAsia="Calibri"/>
          <w:color w:val="000000" w:themeColor="text1"/>
        </w:rPr>
        <w:t xml:space="preserve">: </w:t>
      </w:r>
      <w:r w:rsidRPr="007861C1">
        <w:rPr>
          <w:rFonts w:eastAsia="Calibri"/>
          <w:color w:val="000000" w:themeColor="text1"/>
        </w:rPr>
        <w:t>Minimally vulnerable/susceptible to damage or disruption and would likely be able to withstand shocks or recover quickly. </w:t>
      </w:r>
    </w:p>
    <w:p w14:paraId="2C90B6C8" w14:textId="77777777" w:rsidR="00DF4DC2" w:rsidRDefault="00DF4DC2" w:rsidP="00DF4DC2">
      <w:pPr>
        <w:pStyle w:val="ListParagraph"/>
        <w:numPr>
          <w:ilvl w:val="0"/>
          <w:numId w:val="0"/>
        </w:numPr>
        <w:ind w:left="1440"/>
        <w:rPr>
          <w:rFonts w:eastAsia="Calibri"/>
          <w:color w:val="000000" w:themeColor="text1"/>
        </w:rPr>
      </w:pPr>
    </w:p>
    <w:p w14:paraId="358C05DC" w14:textId="77777777" w:rsidR="00DF4DC2" w:rsidRPr="00893BDB" w:rsidRDefault="00DF4DC2" w:rsidP="00DF4DC2">
      <w:pPr>
        <w:pStyle w:val="ListParagraph"/>
        <w:numPr>
          <w:ilvl w:val="0"/>
          <w:numId w:val="0"/>
        </w:numPr>
        <w:ind w:left="1440"/>
        <w:rPr>
          <w:rFonts w:eastAsia="Calibri"/>
          <w:color w:val="000000" w:themeColor="text1"/>
        </w:rPr>
      </w:pPr>
    </w:p>
    <w:p w14:paraId="50B5A6AA" w14:textId="77777777" w:rsidR="00BC2D7A" w:rsidRPr="009427F8" w:rsidRDefault="00BC2D7A" w:rsidP="007F5B6B">
      <w:pPr>
        <w:spacing w:after="0" w:line="240" w:lineRule="auto"/>
        <w:rPr>
          <w:rFonts w:eastAsia="Calibri"/>
          <w:color w:val="000000" w:themeColor="text1"/>
        </w:rPr>
      </w:pPr>
    </w:p>
    <w:p w14:paraId="77E58428" w14:textId="18094802" w:rsidR="2FEC2776" w:rsidRDefault="00DF4DC2" w:rsidP="007F5B6B">
      <w:pPr>
        <w:spacing w:after="0" w:line="240" w:lineRule="auto"/>
        <w:jc w:val="center"/>
      </w:pPr>
      <w:r>
        <w:rPr>
          <w:noProof/>
        </w:rPr>
        <w:drawing>
          <wp:inline distT="0" distB="0" distL="0" distR="0" wp14:anchorId="51B6DB47" wp14:editId="0191CAD6">
            <wp:extent cx="5937859" cy="640080"/>
            <wp:effectExtent l="0" t="0" r="6350" b="7620"/>
            <wp:docPr id="1650577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7859" cy="640080"/>
                    </a:xfrm>
                    <a:prstGeom prst="rect">
                      <a:avLst/>
                    </a:prstGeom>
                    <a:noFill/>
                  </pic:spPr>
                </pic:pic>
              </a:graphicData>
            </a:graphic>
          </wp:inline>
        </w:drawing>
      </w:r>
    </w:p>
    <w:p w14:paraId="54FF746C" w14:textId="77777777" w:rsidR="00DF4DC2" w:rsidRDefault="00DF4DC2" w:rsidP="007F5B6B">
      <w:pPr>
        <w:pStyle w:val="Caption"/>
        <w:spacing w:after="0"/>
        <w:rPr>
          <w:rFonts w:ascii="Calibri" w:eastAsia="Calibri" w:hAnsi="Calibri" w:cs="Calibri"/>
          <w:color w:val="auto"/>
        </w:rPr>
      </w:pPr>
    </w:p>
    <w:p w14:paraId="4E81B3D4" w14:textId="148F3561" w:rsidR="6FE07072" w:rsidRPr="00DF4DC2" w:rsidRDefault="72016687" w:rsidP="007F5B6B">
      <w:pPr>
        <w:pStyle w:val="Caption"/>
        <w:spacing w:after="0"/>
        <w:rPr>
          <w:rFonts w:ascii="Calibri" w:eastAsia="Calibri" w:hAnsi="Calibri" w:cs="Calibri"/>
          <w:color w:val="auto"/>
          <w:sz w:val="24"/>
          <w:szCs w:val="24"/>
        </w:rPr>
      </w:pPr>
      <w:r w:rsidRPr="00DF4DC2">
        <w:rPr>
          <w:rFonts w:ascii="Calibri" w:eastAsia="Calibri" w:hAnsi="Calibri" w:cs="Calibri"/>
          <w:color w:val="auto"/>
          <w:sz w:val="24"/>
          <w:szCs w:val="24"/>
        </w:rPr>
        <w:lastRenderedPageBreak/>
        <w:t xml:space="preserve">Indicator Diagram with </w:t>
      </w:r>
      <w:r w:rsidR="3104A811" w:rsidRPr="00DF4DC2">
        <w:rPr>
          <w:rFonts w:ascii="Calibri" w:eastAsia="Calibri" w:hAnsi="Calibri" w:cs="Calibri"/>
          <w:color w:val="auto"/>
          <w:sz w:val="24"/>
          <w:szCs w:val="24"/>
        </w:rPr>
        <w:t>Cards Sorted by Resilience: An example of how the indicator cards should be sorted horizontally from less resilient to more resilient.</w:t>
      </w:r>
    </w:p>
    <w:p w14:paraId="7FB4180A" w14:textId="77777777" w:rsidR="00BC2D7A" w:rsidRDefault="00BC2D7A" w:rsidP="007F5B6B">
      <w:pPr>
        <w:spacing w:after="0" w:line="240" w:lineRule="auto"/>
        <w:contextualSpacing/>
      </w:pPr>
    </w:p>
    <w:p w14:paraId="26AC121E" w14:textId="77777777" w:rsidR="00DF4DC2" w:rsidRPr="00ED5656" w:rsidRDefault="00DF4DC2" w:rsidP="007F5B6B">
      <w:pPr>
        <w:spacing w:after="0" w:line="240" w:lineRule="auto"/>
        <w:contextualSpacing/>
      </w:pPr>
    </w:p>
    <w:p w14:paraId="3CE91DC4" w14:textId="6C7B1539" w:rsidR="68317EFF" w:rsidRPr="007861C1" w:rsidRDefault="68317EFF" w:rsidP="007F5B6B">
      <w:pPr>
        <w:pStyle w:val="ListParagraph"/>
        <w:numPr>
          <w:ilvl w:val="0"/>
          <w:numId w:val="3"/>
        </w:numPr>
        <w:contextualSpacing/>
        <w:rPr>
          <w:sz w:val="28"/>
          <w:szCs w:val="28"/>
        </w:rPr>
      </w:pPr>
      <w:r w:rsidRPr="007861C1">
        <w:rPr>
          <w:rFonts w:eastAsia="Calibri"/>
          <w:b/>
          <w:bCs/>
          <w:color w:val="000000" w:themeColor="text1"/>
        </w:rPr>
        <w:t>(Breakout groups)</w:t>
      </w:r>
      <w:r w:rsidRPr="007861C1">
        <w:rPr>
          <w:rFonts w:eastAsia="Calibri"/>
          <w:color w:val="000000" w:themeColor="text1"/>
        </w:rPr>
        <w:t>: Now as a group, move the cards you just placed on the resilience line up or down to indicate how equitable each indicator is as shown in the image below.</w:t>
      </w:r>
    </w:p>
    <w:p w14:paraId="52721584" w14:textId="3E8A01C3" w:rsidR="71474244" w:rsidRPr="007861C1" w:rsidRDefault="71474244" w:rsidP="007F5B6B">
      <w:pPr>
        <w:pStyle w:val="ListParagraph"/>
        <w:numPr>
          <w:ilvl w:val="1"/>
          <w:numId w:val="3"/>
        </w:numPr>
        <w:rPr>
          <w:rFonts w:eastAsia="Calibri"/>
          <w:color w:val="000000" w:themeColor="text1"/>
        </w:rPr>
      </w:pPr>
      <w:r w:rsidRPr="007861C1">
        <w:rPr>
          <w:rFonts w:eastAsia="Calibri"/>
          <w:color w:val="000000" w:themeColor="text1"/>
          <w:u w:val="single"/>
        </w:rPr>
        <w:t>Less equitable</w:t>
      </w:r>
      <w:r w:rsidRPr="007861C1">
        <w:rPr>
          <w:rFonts w:eastAsia="Calibri"/>
          <w:color w:val="000000" w:themeColor="text1"/>
        </w:rPr>
        <w:t xml:space="preserve">: There are substantial differences in how different groups of people or neighborhoods are affected by this indicator which cause greater harm or risks for some groups.    </w:t>
      </w:r>
    </w:p>
    <w:p w14:paraId="02F67078" w14:textId="24A4669A" w:rsidR="71474244" w:rsidRPr="007861C1" w:rsidRDefault="71474244" w:rsidP="007F5B6B">
      <w:pPr>
        <w:pStyle w:val="ListParagraph"/>
        <w:numPr>
          <w:ilvl w:val="1"/>
          <w:numId w:val="3"/>
        </w:numPr>
        <w:rPr>
          <w:rFonts w:eastAsia="Calibri"/>
          <w:color w:val="000000" w:themeColor="text1"/>
        </w:rPr>
      </w:pPr>
      <w:r w:rsidRPr="007861C1">
        <w:rPr>
          <w:rFonts w:eastAsia="Calibri"/>
          <w:color w:val="000000" w:themeColor="text1"/>
          <w:u w:val="single"/>
        </w:rPr>
        <w:t>More equitable</w:t>
      </w:r>
      <w:r w:rsidRPr="007861C1">
        <w:rPr>
          <w:rFonts w:eastAsia="Calibri"/>
          <w:color w:val="000000" w:themeColor="text1"/>
        </w:rPr>
        <w:t>: There are minimal differences in how different groups of people or neighborhoods are affected by this indicator or if there are differences, they do not cause greater harm or risk for a particular group.</w:t>
      </w:r>
    </w:p>
    <w:p w14:paraId="278064B5" w14:textId="4B82FBE6" w:rsidR="71474244" w:rsidRDefault="71474244" w:rsidP="007F5B6B">
      <w:pPr>
        <w:pStyle w:val="ListParagraph"/>
        <w:numPr>
          <w:ilvl w:val="1"/>
          <w:numId w:val="3"/>
        </w:numPr>
      </w:pPr>
      <w:r w:rsidRPr="007861C1">
        <w:rPr>
          <w:u w:val="single"/>
        </w:rPr>
        <w:t>Example</w:t>
      </w:r>
      <w:r w:rsidRPr="007861C1">
        <w:t>: For the indicator “Number of homes in FEMA floodplain”, there could be a low number of homes in floodplains (more resilient), but the homes in the floodplains belong to low-income families or persons over 65 (less equitable).</w:t>
      </w:r>
    </w:p>
    <w:p w14:paraId="6E08C128" w14:textId="77777777" w:rsidR="00DF4DC2" w:rsidRDefault="00DF4DC2" w:rsidP="00DF4DC2">
      <w:pPr>
        <w:pStyle w:val="ListParagraph"/>
        <w:numPr>
          <w:ilvl w:val="0"/>
          <w:numId w:val="0"/>
        </w:numPr>
        <w:ind w:left="1440"/>
      </w:pPr>
    </w:p>
    <w:p w14:paraId="7E542C40" w14:textId="77777777" w:rsidR="00D26A57" w:rsidRPr="007861C1" w:rsidRDefault="00D26A57" w:rsidP="007F5B6B">
      <w:pPr>
        <w:spacing w:after="0" w:line="240" w:lineRule="auto"/>
      </w:pPr>
    </w:p>
    <w:p w14:paraId="48082C43" w14:textId="0C783F0D" w:rsidR="1B8794B5" w:rsidRDefault="00DF4DC2" w:rsidP="007F5B6B">
      <w:pPr>
        <w:spacing w:after="0" w:line="240" w:lineRule="auto"/>
        <w:jc w:val="center"/>
      </w:pPr>
      <w:r>
        <w:rPr>
          <w:noProof/>
        </w:rPr>
        <w:drawing>
          <wp:inline distT="0" distB="0" distL="0" distR="0" wp14:anchorId="78FC0689" wp14:editId="4565D76E">
            <wp:extent cx="5892165" cy="3273626"/>
            <wp:effectExtent l="0" t="0" r="0" b="0"/>
            <wp:docPr id="9539023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5404" cy="3280981"/>
                    </a:xfrm>
                    <a:prstGeom prst="rect">
                      <a:avLst/>
                    </a:prstGeom>
                    <a:noFill/>
                  </pic:spPr>
                </pic:pic>
              </a:graphicData>
            </a:graphic>
          </wp:inline>
        </w:drawing>
      </w:r>
    </w:p>
    <w:p w14:paraId="1CEC0F60" w14:textId="77777777" w:rsidR="00DF4DC2" w:rsidRDefault="50BFA603" w:rsidP="007F5B6B">
      <w:pPr>
        <w:pStyle w:val="Caption"/>
        <w:spacing w:after="0"/>
        <w:rPr>
          <w:rFonts w:ascii="Calibri" w:eastAsia="Calibri" w:hAnsi="Calibri" w:cs="Calibri"/>
          <w:color w:val="auto"/>
          <w:sz w:val="24"/>
          <w:szCs w:val="24"/>
        </w:rPr>
      </w:pPr>
      <w:r w:rsidRPr="00DF4DC2">
        <w:rPr>
          <w:rFonts w:ascii="Calibri" w:eastAsia="Calibri" w:hAnsi="Calibri" w:cs="Calibri"/>
          <w:color w:val="auto"/>
          <w:sz w:val="24"/>
          <w:szCs w:val="24"/>
        </w:rPr>
        <w:t xml:space="preserve">Indicator Diagram with </w:t>
      </w:r>
      <w:r w:rsidR="3BDDA627" w:rsidRPr="00DF4DC2">
        <w:rPr>
          <w:rFonts w:ascii="Calibri" w:eastAsia="Calibri" w:hAnsi="Calibri" w:cs="Calibri"/>
          <w:color w:val="auto"/>
          <w:sz w:val="24"/>
          <w:szCs w:val="24"/>
        </w:rPr>
        <w:t>Cards Sorted by Equity: An example of how the indicator cards should be sorted vertically from less equitable to more equitable after sorted based on resilience.</w:t>
      </w:r>
    </w:p>
    <w:p w14:paraId="37E5A470" w14:textId="60E71A62" w:rsidR="00BC2D7A" w:rsidRPr="00DF4DC2" w:rsidRDefault="3BDDA627" w:rsidP="007F5B6B">
      <w:pPr>
        <w:pStyle w:val="Caption"/>
        <w:spacing w:after="0"/>
        <w:rPr>
          <w:i w:val="0"/>
          <w:iCs w:val="0"/>
          <w:sz w:val="24"/>
          <w:szCs w:val="24"/>
        </w:rPr>
      </w:pPr>
      <w:r w:rsidRPr="00DF4DC2">
        <w:rPr>
          <w:sz w:val="24"/>
          <w:szCs w:val="24"/>
        </w:rPr>
        <w:br/>
      </w:r>
    </w:p>
    <w:p w14:paraId="17F9F029" w14:textId="39A5E2BD" w:rsidR="68317EFF" w:rsidRPr="007861C1" w:rsidRDefault="68317EFF" w:rsidP="007F5B6B">
      <w:pPr>
        <w:pStyle w:val="ListParagraph"/>
        <w:numPr>
          <w:ilvl w:val="0"/>
          <w:numId w:val="3"/>
        </w:numPr>
        <w:rPr>
          <w:rFonts w:eastAsia="Calibri"/>
          <w:color w:val="000000" w:themeColor="text1"/>
        </w:rPr>
      </w:pPr>
      <w:r w:rsidRPr="007861C1">
        <w:rPr>
          <w:rFonts w:eastAsia="Calibri"/>
          <w:b/>
          <w:bCs/>
          <w:color w:val="000000" w:themeColor="text1"/>
        </w:rPr>
        <w:t>(</w:t>
      </w:r>
      <w:r w:rsidR="7AFB335B" w:rsidRPr="007861C1">
        <w:rPr>
          <w:rFonts w:eastAsia="Calibri"/>
          <w:b/>
          <w:bCs/>
          <w:color w:val="000000" w:themeColor="text1"/>
        </w:rPr>
        <w:t xml:space="preserve">Core </w:t>
      </w:r>
      <w:r w:rsidR="00D95BD8">
        <w:rPr>
          <w:rFonts w:eastAsia="Calibri"/>
          <w:b/>
          <w:bCs/>
          <w:color w:val="000000" w:themeColor="text1"/>
        </w:rPr>
        <w:t>t</w:t>
      </w:r>
      <w:r w:rsidR="7AFB335B" w:rsidRPr="007861C1">
        <w:rPr>
          <w:rFonts w:eastAsia="Calibri"/>
          <w:b/>
          <w:bCs/>
          <w:color w:val="000000" w:themeColor="text1"/>
        </w:rPr>
        <w:t>eam</w:t>
      </w:r>
      <w:r w:rsidRPr="007861C1">
        <w:rPr>
          <w:rFonts w:eastAsia="Calibri"/>
          <w:b/>
          <w:bCs/>
          <w:color w:val="000000" w:themeColor="text1"/>
        </w:rPr>
        <w:t>)</w:t>
      </w:r>
      <w:r w:rsidRPr="007861C1">
        <w:rPr>
          <w:rFonts w:eastAsia="Calibri"/>
          <w:color w:val="000000" w:themeColor="text1"/>
        </w:rPr>
        <w:t>: Have each breakout group share their results and discuss as a group the patterns you see. This can be done with tape or sticky notes on a wall, projector, or table. Draw squares around the 4 quadr</w:t>
      </w:r>
      <w:r w:rsidR="3BBF2914" w:rsidRPr="007861C1">
        <w:rPr>
          <w:rFonts w:eastAsia="Calibri"/>
          <w:color w:val="000000" w:themeColor="text1"/>
        </w:rPr>
        <w:t>ants on the board and add labels</w:t>
      </w:r>
      <w:r w:rsidR="00DF4DC2">
        <w:rPr>
          <w:rFonts w:eastAsia="Calibri"/>
          <w:color w:val="000000" w:themeColor="text1"/>
        </w:rPr>
        <w:t xml:space="preserve"> to each quadrant following t</w:t>
      </w:r>
      <w:r w:rsidR="3BBF2914" w:rsidRPr="007861C1">
        <w:rPr>
          <w:rFonts w:eastAsia="Calibri"/>
          <w:color w:val="000000" w:themeColor="text1"/>
        </w:rPr>
        <w:t xml:space="preserve">he example below. </w:t>
      </w:r>
    </w:p>
    <w:p w14:paraId="44EC22B6" w14:textId="7FB08B72" w:rsidR="4379855F" w:rsidRDefault="4379855F" w:rsidP="007F5B6B">
      <w:pPr>
        <w:spacing w:after="0" w:line="240" w:lineRule="auto"/>
        <w:rPr>
          <w:rFonts w:ascii="Calibri" w:eastAsia="Calibri" w:hAnsi="Calibri" w:cs="Calibri"/>
          <w:color w:val="000000" w:themeColor="text1"/>
          <w:sz w:val="24"/>
          <w:szCs w:val="24"/>
        </w:rPr>
      </w:pPr>
    </w:p>
    <w:p w14:paraId="6C14CC6F" w14:textId="77777777" w:rsidR="00DF4DC2" w:rsidRDefault="00DF4DC2" w:rsidP="007F5B6B">
      <w:pPr>
        <w:spacing w:after="0" w:line="240" w:lineRule="auto"/>
        <w:rPr>
          <w:rFonts w:ascii="Calibri" w:eastAsia="Calibri" w:hAnsi="Calibri" w:cs="Calibri"/>
          <w:color w:val="000000" w:themeColor="text1"/>
          <w:sz w:val="24"/>
          <w:szCs w:val="24"/>
        </w:rPr>
      </w:pPr>
    </w:p>
    <w:p w14:paraId="40D94CBA" w14:textId="6D2E6EDA" w:rsidR="00DF4DC2" w:rsidRDefault="00730611" w:rsidP="007F5B6B">
      <w:pPr>
        <w:spacing w:after="0" w:line="240" w:lineRule="auto"/>
        <w:rPr>
          <w:rFonts w:ascii="Calibri" w:eastAsia="Calibri" w:hAnsi="Calibri" w:cs="Calibri"/>
          <w:color w:val="000000" w:themeColor="text1"/>
          <w:sz w:val="24"/>
          <w:szCs w:val="24"/>
        </w:rPr>
      </w:pPr>
      <w:r>
        <w:rPr>
          <w:noProof/>
        </w:rPr>
        <w:drawing>
          <wp:inline distT="0" distB="0" distL="0" distR="0" wp14:anchorId="295F8C45" wp14:editId="07362F1F">
            <wp:extent cx="5943600" cy="3343275"/>
            <wp:effectExtent l="0" t="0" r="0" b="9525"/>
            <wp:docPr id="4048790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879099"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943600" cy="3343275"/>
                    </a:xfrm>
                    <a:prstGeom prst="rect">
                      <a:avLst/>
                    </a:prstGeom>
                  </pic:spPr>
                </pic:pic>
              </a:graphicData>
            </a:graphic>
          </wp:inline>
        </w:drawing>
      </w:r>
    </w:p>
    <w:p w14:paraId="00C9B27B" w14:textId="77777777" w:rsidR="00730611" w:rsidRDefault="00730611" w:rsidP="007F5B6B">
      <w:pPr>
        <w:spacing w:after="0" w:line="240" w:lineRule="auto"/>
        <w:jc w:val="center"/>
        <w:rPr>
          <w:rFonts w:ascii="Calibri" w:eastAsia="Calibri" w:hAnsi="Calibri" w:cs="Calibri"/>
          <w:i/>
          <w:iCs/>
          <w:sz w:val="24"/>
          <w:szCs w:val="24"/>
        </w:rPr>
      </w:pPr>
    </w:p>
    <w:p w14:paraId="3FAE4CD0" w14:textId="3774395F" w:rsidR="009427F8" w:rsidRPr="00DF4DC2" w:rsidRDefault="14DDBE9E" w:rsidP="007F5B6B">
      <w:pPr>
        <w:spacing w:after="0" w:line="240" w:lineRule="auto"/>
        <w:jc w:val="center"/>
        <w:rPr>
          <w:rFonts w:ascii="Calibri" w:eastAsia="Calibri" w:hAnsi="Calibri" w:cs="Calibri"/>
          <w:i/>
          <w:iCs/>
          <w:sz w:val="24"/>
          <w:szCs w:val="24"/>
        </w:rPr>
      </w:pPr>
      <w:r w:rsidRPr="00DF4DC2">
        <w:rPr>
          <w:rFonts w:ascii="Calibri" w:eastAsia="Calibri" w:hAnsi="Calibri" w:cs="Calibri"/>
          <w:i/>
          <w:iCs/>
          <w:sz w:val="24"/>
          <w:szCs w:val="24"/>
        </w:rPr>
        <w:t xml:space="preserve">Indicator Diagram with </w:t>
      </w:r>
      <w:r w:rsidR="33C20E0C" w:rsidRPr="00DF4DC2">
        <w:rPr>
          <w:rFonts w:ascii="Calibri" w:eastAsia="Calibri" w:hAnsi="Calibri" w:cs="Calibri"/>
          <w:i/>
          <w:iCs/>
          <w:sz w:val="24"/>
          <w:szCs w:val="24"/>
        </w:rPr>
        <w:t xml:space="preserve">Cards in Quadrants: </w:t>
      </w:r>
    </w:p>
    <w:p w14:paraId="24F68358" w14:textId="12D0A33F" w:rsidR="00BC2D7A" w:rsidRPr="00DF4DC2" w:rsidRDefault="33C20E0C" w:rsidP="007F5B6B">
      <w:pPr>
        <w:spacing w:after="0" w:line="240" w:lineRule="auto"/>
        <w:jc w:val="center"/>
        <w:rPr>
          <w:rFonts w:ascii="Calibri" w:eastAsia="Calibri" w:hAnsi="Calibri" w:cs="Calibri"/>
          <w:i/>
          <w:iCs/>
          <w:sz w:val="24"/>
          <w:szCs w:val="24"/>
        </w:rPr>
      </w:pPr>
      <w:r w:rsidRPr="00DF4DC2">
        <w:rPr>
          <w:rFonts w:ascii="Calibri" w:eastAsia="Calibri" w:hAnsi="Calibri" w:cs="Calibri"/>
          <w:i/>
          <w:iCs/>
          <w:sz w:val="24"/>
          <w:szCs w:val="24"/>
        </w:rPr>
        <w:t>An example of fully sorted indicator cards from a</w:t>
      </w:r>
      <w:r w:rsidR="59D4FDF1" w:rsidRPr="00DF4DC2">
        <w:rPr>
          <w:rFonts w:ascii="Calibri" w:eastAsia="Calibri" w:hAnsi="Calibri" w:cs="Calibri"/>
          <w:i/>
          <w:iCs/>
          <w:sz w:val="24"/>
          <w:szCs w:val="24"/>
        </w:rPr>
        <w:t>ll systems. Quadrants are labeled</w:t>
      </w:r>
      <w:r w:rsidRPr="00DF4DC2">
        <w:rPr>
          <w:rFonts w:ascii="Calibri" w:eastAsia="Calibri" w:hAnsi="Calibri" w:cs="Calibri"/>
          <w:i/>
          <w:iCs/>
          <w:sz w:val="24"/>
          <w:szCs w:val="24"/>
        </w:rPr>
        <w:t xml:space="preserve"> as a group after breakout groups have sorted their cards.</w:t>
      </w:r>
    </w:p>
    <w:p w14:paraId="11777FAB" w14:textId="77777777" w:rsidR="00BC2D7A" w:rsidRDefault="00BC2D7A" w:rsidP="007F5B6B">
      <w:pPr>
        <w:spacing w:after="0" w:line="240" w:lineRule="auto"/>
        <w:rPr>
          <w:rFonts w:ascii="Calibri" w:eastAsia="Calibri" w:hAnsi="Calibri" w:cs="Calibri"/>
          <w:i/>
          <w:iCs/>
          <w:color w:val="44546A" w:themeColor="text2"/>
          <w:sz w:val="28"/>
          <w:szCs w:val="28"/>
        </w:rPr>
      </w:pPr>
    </w:p>
    <w:p w14:paraId="27386C84" w14:textId="77777777" w:rsidR="00DF4DC2" w:rsidRDefault="00DF4DC2" w:rsidP="007F5B6B">
      <w:pPr>
        <w:spacing w:after="0" w:line="240" w:lineRule="auto"/>
        <w:rPr>
          <w:rFonts w:ascii="Calibri" w:eastAsia="Calibri" w:hAnsi="Calibri" w:cs="Calibri"/>
          <w:i/>
          <w:iCs/>
          <w:color w:val="44546A" w:themeColor="text2"/>
          <w:sz w:val="28"/>
          <w:szCs w:val="28"/>
        </w:rPr>
      </w:pPr>
    </w:p>
    <w:p w14:paraId="085DD1CD" w14:textId="182B6835" w:rsidR="19D8D143" w:rsidRDefault="19D8D143" w:rsidP="007F5B6B">
      <w:pPr>
        <w:pStyle w:val="Heading2"/>
        <w:spacing w:before="0" w:line="240" w:lineRule="auto"/>
      </w:pPr>
      <w:r>
        <w:t xml:space="preserve">Large </w:t>
      </w:r>
      <w:r w:rsidR="00ED5656">
        <w:t>g</w:t>
      </w:r>
      <w:r>
        <w:t xml:space="preserve">roup </w:t>
      </w:r>
      <w:r w:rsidR="00ED5656">
        <w:t>d</w:t>
      </w:r>
      <w:r>
        <w:t xml:space="preserve">iscussion </w:t>
      </w:r>
      <w:r w:rsidR="00ED5656">
        <w:t>p</w:t>
      </w:r>
      <w:r>
        <w:t>rompts</w:t>
      </w:r>
    </w:p>
    <w:p w14:paraId="5DE4DB41" w14:textId="3B462D12" w:rsidR="00BF608B" w:rsidRPr="00E21FB6" w:rsidRDefault="0EC8A107" w:rsidP="007F5B6B">
      <w:pPr>
        <w:pStyle w:val="ListParagraph"/>
        <w:numPr>
          <w:ilvl w:val="0"/>
          <w:numId w:val="2"/>
        </w:numPr>
      </w:pPr>
      <w:r w:rsidRPr="007861C1">
        <w:t>Which quadrants have the most cards? Do you feel this is an accurate picture of the overall resilience and equity of the community? </w:t>
      </w:r>
    </w:p>
    <w:p w14:paraId="398C4F5C" w14:textId="543A9B5C" w:rsidR="4379855F" w:rsidRDefault="4379855F" w:rsidP="007F5B6B">
      <w:pPr>
        <w:spacing w:after="0" w:line="240" w:lineRule="auto"/>
        <w:rPr>
          <w:sz w:val="24"/>
          <w:szCs w:val="24"/>
        </w:rPr>
      </w:pPr>
    </w:p>
    <w:p w14:paraId="06112C67" w14:textId="77777777" w:rsidR="007E7481" w:rsidRPr="007861C1" w:rsidRDefault="007E7481" w:rsidP="007F5B6B">
      <w:pPr>
        <w:spacing w:after="0" w:line="240" w:lineRule="auto"/>
        <w:rPr>
          <w:sz w:val="24"/>
          <w:szCs w:val="24"/>
        </w:rPr>
      </w:pPr>
    </w:p>
    <w:p w14:paraId="68B3C41D" w14:textId="172E0C4E" w:rsidR="4379855F" w:rsidRPr="00E21FB6" w:rsidRDefault="0EC8A107" w:rsidP="007F5B6B">
      <w:pPr>
        <w:pStyle w:val="ListParagraph"/>
        <w:numPr>
          <w:ilvl w:val="0"/>
          <w:numId w:val="2"/>
        </w:numPr>
      </w:pPr>
      <w:r w:rsidRPr="007861C1">
        <w:t>Are there certain systems that show up more often as more or less resilient, or more or less equitable</w:t>
      </w:r>
      <w:r w:rsidR="00E21FB6">
        <w:t>?</w:t>
      </w:r>
    </w:p>
    <w:p w14:paraId="63CAD764" w14:textId="77777777" w:rsidR="00BF608B" w:rsidRDefault="00BF608B" w:rsidP="007F5B6B">
      <w:pPr>
        <w:spacing w:after="0" w:line="240" w:lineRule="auto"/>
        <w:rPr>
          <w:sz w:val="24"/>
          <w:szCs w:val="24"/>
        </w:rPr>
      </w:pPr>
    </w:p>
    <w:p w14:paraId="65F52E2A" w14:textId="77777777" w:rsidR="007E7481" w:rsidRPr="007861C1" w:rsidRDefault="007E7481" w:rsidP="007F5B6B">
      <w:pPr>
        <w:spacing w:after="0" w:line="240" w:lineRule="auto"/>
        <w:rPr>
          <w:sz w:val="24"/>
          <w:szCs w:val="24"/>
        </w:rPr>
      </w:pPr>
    </w:p>
    <w:p w14:paraId="04370347" w14:textId="2E46E004" w:rsidR="0EC8A107" w:rsidRPr="007861C1" w:rsidRDefault="0EC8A107" w:rsidP="007F5B6B">
      <w:pPr>
        <w:pStyle w:val="ListParagraph"/>
        <w:numPr>
          <w:ilvl w:val="0"/>
          <w:numId w:val="2"/>
        </w:numPr>
      </w:pPr>
      <w:r w:rsidRPr="007861C1">
        <w:t>Are there certain hazards that present a greater risk for the community than others? Are there certain systems that are more vulnerable to specific hazards (as discussed during the hazard mapping activity)?</w:t>
      </w:r>
    </w:p>
    <w:p w14:paraId="4B50B450" w14:textId="77777777" w:rsidR="00AD5955" w:rsidRDefault="00AD5955" w:rsidP="007F5B6B">
      <w:pPr>
        <w:pStyle w:val="paragraph"/>
        <w:spacing w:before="0" w:beforeAutospacing="0" w:after="0" w:afterAutospacing="0"/>
        <w:rPr>
          <w:rFonts w:ascii="Calibri" w:hAnsi="Calibri" w:cs="Calibri"/>
          <w:color w:val="000000" w:themeColor="text1"/>
        </w:rPr>
      </w:pPr>
    </w:p>
    <w:p w14:paraId="27E9AE31" w14:textId="77777777" w:rsidR="00AD5955" w:rsidRDefault="00AD5955" w:rsidP="007F5B6B">
      <w:pPr>
        <w:pStyle w:val="paragraph"/>
        <w:spacing w:before="0" w:beforeAutospacing="0" w:after="0" w:afterAutospacing="0"/>
        <w:rPr>
          <w:rFonts w:ascii="Calibri" w:hAnsi="Calibri" w:cs="Calibri"/>
          <w:color w:val="000000" w:themeColor="text1"/>
        </w:rPr>
      </w:pPr>
    </w:p>
    <w:p w14:paraId="1DF8D887" w14:textId="77777777" w:rsidR="00AD5955" w:rsidRDefault="00AD5955" w:rsidP="007F5B6B">
      <w:pPr>
        <w:pStyle w:val="paragraph"/>
        <w:spacing w:before="0" w:beforeAutospacing="0" w:after="0" w:afterAutospacing="0"/>
        <w:rPr>
          <w:rFonts w:ascii="Calibri" w:hAnsi="Calibri" w:cs="Calibri"/>
          <w:color w:val="000000" w:themeColor="text1"/>
        </w:rPr>
      </w:pPr>
    </w:p>
    <w:p w14:paraId="463B54D3" w14:textId="77777777" w:rsidR="00AD5955" w:rsidRDefault="00AD5955" w:rsidP="007F5B6B">
      <w:pPr>
        <w:pStyle w:val="paragraph"/>
        <w:spacing w:before="0" w:beforeAutospacing="0" w:after="0" w:afterAutospacing="0"/>
        <w:rPr>
          <w:rFonts w:ascii="Calibri" w:hAnsi="Calibri" w:cs="Calibri"/>
          <w:color w:val="000000" w:themeColor="text1"/>
        </w:rPr>
      </w:pPr>
    </w:p>
    <w:p w14:paraId="349B9DD2" w14:textId="77777777" w:rsidR="00AD5955" w:rsidRDefault="00AD5955" w:rsidP="007F5B6B">
      <w:pPr>
        <w:pStyle w:val="paragraph"/>
        <w:spacing w:before="0" w:beforeAutospacing="0" w:after="0" w:afterAutospacing="0"/>
        <w:rPr>
          <w:rFonts w:ascii="Calibri" w:hAnsi="Calibri" w:cs="Calibri"/>
          <w:color w:val="000000" w:themeColor="text1"/>
        </w:rPr>
      </w:pPr>
    </w:p>
    <w:p w14:paraId="62CACE85" w14:textId="77777777" w:rsidR="00AD5955" w:rsidRDefault="00AD5955" w:rsidP="007F5B6B">
      <w:pPr>
        <w:pStyle w:val="paragraph"/>
        <w:spacing w:before="0" w:beforeAutospacing="0" w:after="0" w:afterAutospacing="0"/>
        <w:rPr>
          <w:rFonts w:ascii="Calibri" w:hAnsi="Calibri" w:cs="Calibri"/>
          <w:color w:val="000000" w:themeColor="text1"/>
        </w:rPr>
      </w:pPr>
    </w:p>
    <w:p w14:paraId="5427D1BB" w14:textId="77777777" w:rsidR="00AD5955" w:rsidRDefault="00AD5955" w:rsidP="007F5B6B">
      <w:pPr>
        <w:pStyle w:val="paragraph"/>
        <w:spacing w:before="0" w:beforeAutospacing="0" w:after="0" w:afterAutospacing="0"/>
        <w:rPr>
          <w:rFonts w:ascii="Calibri" w:hAnsi="Calibri" w:cs="Calibri"/>
          <w:color w:val="000000" w:themeColor="text1"/>
        </w:rPr>
      </w:pPr>
    </w:p>
    <w:p w14:paraId="31B5838A" w14:textId="4FE62050" w:rsidR="00AD5955" w:rsidRPr="0069795F" w:rsidRDefault="00AD5955" w:rsidP="00D147DC">
      <w:pPr>
        <w:spacing w:after="0" w:line="240" w:lineRule="auto"/>
        <w:rPr>
          <w:rFonts w:asciiTheme="majorHAnsi" w:eastAsia="Arial" w:hAnsiTheme="majorHAnsi" w:cstheme="majorHAnsi"/>
          <w:b/>
          <w:bCs/>
          <w:sz w:val="48"/>
          <w:szCs w:val="48"/>
        </w:rPr>
      </w:pPr>
      <w:r w:rsidRPr="0069795F">
        <w:rPr>
          <w:rFonts w:asciiTheme="majorHAnsi" w:eastAsia="Arial" w:hAnsiTheme="majorHAnsi" w:cstheme="majorHAnsi"/>
          <w:b/>
          <w:bCs/>
          <w:sz w:val="48"/>
          <w:szCs w:val="48"/>
        </w:rPr>
        <w:t>Resilience Indicators</w:t>
      </w:r>
      <w:r w:rsidR="00D147DC" w:rsidRPr="0069795F">
        <w:rPr>
          <w:rFonts w:asciiTheme="majorHAnsi" w:eastAsia="Arial" w:hAnsiTheme="majorHAnsi" w:cstheme="majorHAnsi"/>
          <w:b/>
          <w:bCs/>
          <w:sz w:val="48"/>
          <w:szCs w:val="48"/>
        </w:rPr>
        <w:t xml:space="preserve"> Background</w:t>
      </w:r>
    </w:p>
    <w:p w14:paraId="230C1BD1" w14:textId="77777777" w:rsidR="00D147DC" w:rsidRPr="00D147DC" w:rsidRDefault="00D147DC" w:rsidP="00AD5955">
      <w:pPr>
        <w:spacing w:after="0" w:line="240" w:lineRule="auto"/>
        <w:rPr>
          <w:rFonts w:eastAsia="Arial"/>
          <w:sz w:val="24"/>
          <w:szCs w:val="24"/>
        </w:rPr>
      </w:pPr>
    </w:p>
    <w:p w14:paraId="1B841802" w14:textId="4A726EA9" w:rsidR="00AD5955" w:rsidRPr="00D147DC" w:rsidRDefault="00AD5955" w:rsidP="00AD5955">
      <w:pPr>
        <w:spacing w:after="0" w:line="240" w:lineRule="auto"/>
        <w:rPr>
          <w:rFonts w:eastAsia="Arial"/>
          <w:sz w:val="24"/>
          <w:szCs w:val="24"/>
        </w:rPr>
      </w:pPr>
      <w:r w:rsidRPr="00D147DC">
        <w:rPr>
          <w:rFonts w:eastAsia="Arial"/>
          <w:sz w:val="24"/>
          <w:szCs w:val="24"/>
        </w:rPr>
        <w:t xml:space="preserve">Community resilience to extreme events, hazards, or changes in environmental conditions because of climate change can be improved with increased awareness of potential risks. Resilience indicators identify sources of potential vulnerability so that further assessment and targeted adaptation strategies can be taken. </w:t>
      </w:r>
    </w:p>
    <w:p w14:paraId="3599B428" w14:textId="77777777" w:rsidR="00AD5955" w:rsidRPr="00D147DC" w:rsidRDefault="00AD5955" w:rsidP="00AD5955">
      <w:pPr>
        <w:spacing w:after="0" w:line="240" w:lineRule="auto"/>
        <w:rPr>
          <w:rFonts w:eastAsia="Arial"/>
          <w:sz w:val="24"/>
          <w:szCs w:val="24"/>
        </w:rPr>
      </w:pPr>
    </w:p>
    <w:p w14:paraId="64A13B8B" w14:textId="77777777" w:rsidR="00AD5955" w:rsidRPr="0069795F" w:rsidRDefault="00AD5955" w:rsidP="00AD5955">
      <w:pPr>
        <w:spacing w:after="0" w:line="240" w:lineRule="auto"/>
        <w:rPr>
          <w:rFonts w:eastAsia="Arial"/>
          <w:b/>
          <w:bCs/>
          <w:sz w:val="28"/>
          <w:szCs w:val="28"/>
        </w:rPr>
      </w:pPr>
      <w:r w:rsidRPr="0069795F">
        <w:rPr>
          <w:rFonts w:eastAsia="Arial"/>
          <w:b/>
          <w:bCs/>
          <w:sz w:val="28"/>
          <w:szCs w:val="28"/>
        </w:rPr>
        <w:t>What is a resilience indicator?</w:t>
      </w:r>
    </w:p>
    <w:p w14:paraId="18763B9C" w14:textId="77777777" w:rsidR="00AD5955" w:rsidRPr="00D147DC" w:rsidRDefault="00AD5955" w:rsidP="00AD5955">
      <w:pPr>
        <w:spacing w:after="0" w:line="240" w:lineRule="auto"/>
        <w:rPr>
          <w:rFonts w:eastAsia="Arial"/>
          <w:sz w:val="24"/>
          <w:szCs w:val="24"/>
        </w:rPr>
      </w:pPr>
      <w:r w:rsidRPr="00D147DC">
        <w:rPr>
          <w:rFonts w:eastAsia="Arial"/>
          <w:sz w:val="24"/>
          <w:szCs w:val="24"/>
        </w:rPr>
        <w:t xml:space="preserve">Resilience indicators are summary measures that provide information on the state of or change in built, social, or natural systems that can help characterize their vulnerability and adaptive capacity. Indicators can help community leaders assess needs, prioritize goals, and establish baselines for monitoring progress and recognizing success [1]. </w:t>
      </w:r>
    </w:p>
    <w:p w14:paraId="0AD989AC" w14:textId="77777777" w:rsidR="00AD5955" w:rsidRPr="00D147DC" w:rsidRDefault="00AD5955" w:rsidP="00AD5955">
      <w:pPr>
        <w:spacing w:after="0" w:line="240" w:lineRule="auto"/>
        <w:rPr>
          <w:rFonts w:eastAsia="Arial"/>
          <w:sz w:val="24"/>
          <w:szCs w:val="24"/>
        </w:rPr>
      </w:pPr>
    </w:p>
    <w:p w14:paraId="56832F39" w14:textId="77777777" w:rsidR="00AD5955" w:rsidRPr="00D147DC" w:rsidRDefault="00AD5955" w:rsidP="00AD5955">
      <w:pPr>
        <w:spacing w:after="0" w:line="240" w:lineRule="auto"/>
        <w:rPr>
          <w:rFonts w:eastAsia="Arial"/>
          <w:sz w:val="24"/>
          <w:szCs w:val="24"/>
        </w:rPr>
      </w:pPr>
      <w:r w:rsidRPr="00D147DC">
        <w:rPr>
          <w:rFonts w:eastAsia="Arial"/>
          <w:sz w:val="24"/>
          <w:szCs w:val="24"/>
        </w:rPr>
        <w:t xml:space="preserve">However, community indicators are often based on national data sets and assumptions that do not make sense for every community. To be useful for community planning, indicators need to be developed with input from local leaders and community members and tailored to assess local context. </w:t>
      </w:r>
    </w:p>
    <w:p w14:paraId="01B79034" w14:textId="77777777" w:rsidR="00AD5955" w:rsidRPr="00D147DC" w:rsidRDefault="00AD5955" w:rsidP="00AD5955">
      <w:pPr>
        <w:spacing w:after="0" w:line="240" w:lineRule="auto"/>
        <w:rPr>
          <w:rFonts w:eastAsia="Arial"/>
          <w:sz w:val="24"/>
          <w:szCs w:val="24"/>
        </w:rPr>
      </w:pPr>
    </w:p>
    <w:p w14:paraId="7A23BCFB" w14:textId="07959F4A" w:rsidR="00AD5955" w:rsidRPr="002D68AD" w:rsidRDefault="00AD5955" w:rsidP="00AD5955">
      <w:pPr>
        <w:spacing w:after="0" w:line="240" w:lineRule="auto"/>
        <w:rPr>
          <w:rFonts w:eastAsia="Arial"/>
          <w:b/>
          <w:bCs/>
          <w:sz w:val="28"/>
          <w:szCs w:val="28"/>
        </w:rPr>
      </w:pPr>
      <w:r w:rsidRPr="002D68AD">
        <w:rPr>
          <w:rFonts w:eastAsia="Arial"/>
          <w:b/>
          <w:bCs/>
          <w:sz w:val="28"/>
          <w:szCs w:val="28"/>
        </w:rPr>
        <w:t xml:space="preserve">Using the Equitable Resilience Builder (ERB) to </w:t>
      </w:r>
      <w:r w:rsidR="002D68AD" w:rsidRPr="002D68AD">
        <w:rPr>
          <w:rFonts w:eastAsia="Arial"/>
          <w:b/>
          <w:bCs/>
          <w:sz w:val="28"/>
          <w:szCs w:val="28"/>
        </w:rPr>
        <w:t>assess h</w:t>
      </w:r>
      <w:r w:rsidRPr="002D68AD">
        <w:rPr>
          <w:rFonts w:eastAsia="Arial"/>
          <w:b/>
          <w:bCs/>
          <w:sz w:val="28"/>
          <w:szCs w:val="28"/>
        </w:rPr>
        <w:t>azards, equity, and resilience</w:t>
      </w:r>
    </w:p>
    <w:p w14:paraId="4815DBD3" w14:textId="77777777" w:rsidR="00AD5955" w:rsidRPr="00D147DC" w:rsidRDefault="00AD5955" w:rsidP="00AD5955">
      <w:pPr>
        <w:spacing w:after="0" w:line="240" w:lineRule="auto"/>
        <w:rPr>
          <w:rFonts w:eastAsia="Arial"/>
          <w:sz w:val="24"/>
          <w:szCs w:val="24"/>
        </w:rPr>
      </w:pPr>
      <w:r w:rsidRPr="00D147DC">
        <w:rPr>
          <w:rFonts w:eastAsia="Arial"/>
          <w:sz w:val="24"/>
          <w:szCs w:val="24"/>
        </w:rPr>
        <w:t>The ERB tool offers an iterative process for integrating community data on hazards and equity to develop and identify indicators so that further assessment and targeted adaptation strategies can be undertaken in an equitable, resource-effective manner [2].</w:t>
      </w:r>
    </w:p>
    <w:p w14:paraId="099F1B20" w14:textId="77777777" w:rsidR="00AD5955" w:rsidRPr="00D147DC" w:rsidRDefault="00AD5955" w:rsidP="00AD5955">
      <w:pPr>
        <w:spacing w:after="0" w:line="240" w:lineRule="auto"/>
        <w:rPr>
          <w:rFonts w:eastAsia="Arial"/>
          <w:sz w:val="24"/>
          <w:szCs w:val="24"/>
        </w:rPr>
      </w:pPr>
    </w:p>
    <w:p w14:paraId="37E05C90" w14:textId="77777777" w:rsidR="00AD5955" w:rsidRPr="00D147DC" w:rsidRDefault="00AD5955" w:rsidP="00AD5955">
      <w:pPr>
        <w:spacing w:after="0" w:line="240" w:lineRule="auto"/>
        <w:rPr>
          <w:rFonts w:eastAsia="Arial"/>
          <w:sz w:val="24"/>
          <w:szCs w:val="24"/>
        </w:rPr>
      </w:pPr>
      <w:r w:rsidRPr="00D147DC">
        <w:rPr>
          <w:rFonts w:eastAsia="Arial" w:cstheme="minorHAnsi"/>
          <w:noProof/>
          <w:sz w:val="24"/>
          <w:szCs w:val="24"/>
        </w:rPr>
        <w:drawing>
          <wp:inline distT="0" distB="0" distL="0" distR="0" wp14:anchorId="3F959541" wp14:editId="688BBCF2">
            <wp:extent cx="4596063" cy="1954530"/>
            <wp:effectExtent l="0" t="0" r="0" b="76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54BD429" w14:textId="10B95D31" w:rsidR="00AD5955" w:rsidRPr="00D147DC" w:rsidRDefault="00AD5955" w:rsidP="00AD5955">
      <w:pPr>
        <w:spacing w:after="0" w:line="240" w:lineRule="auto"/>
        <w:rPr>
          <w:rFonts w:eastAsia="Arial"/>
          <w:i/>
          <w:iCs/>
          <w:sz w:val="24"/>
          <w:szCs w:val="24"/>
        </w:rPr>
      </w:pPr>
      <w:r w:rsidRPr="00D147DC">
        <w:rPr>
          <w:rFonts w:eastAsia="Arial"/>
          <w:i/>
          <w:iCs/>
          <w:sz w:val="24"/>
          <w:szCs w:val="24"/>
        </w:rPr>
        <w:t>Figure 1.</w:t>
      </w:r>
      <w:r w:rsidR="002D68AD">
        <w:rPr>
          <w:rFonts w:eastAsia="Arial"/>
          <w:i/>
          <w:iCs/>
          <w:sz w:val="24"/>
          <w:szCs w:val="24"/>
        </w:rPr>
        <w:t xml:space="preserve"> </w:t>
      </w:r>
      <w:r w:rsidRPr="00D147DC">
        <w:rPr>
          <w:rFonts w:eastAsia="Arial"/>
          <w:i/>
          <w:iCs/>
          <w:sz w:val="24"/>
          <w:szCs w:val="24"/>
        </w:rPr>
        <w:t>Indicators in ERB</w:t>
      </w:r>
    </w:p>
    <w:p w14:paraId="3916E630" w14:textId="77777777" w:rsidR="00AD5955" w:rsidRPr="00D147DC" w:rsidRDefault="00AD5955" w:rsidP="00AD5955">
      <w:pPr>
        <w:spacing w:after="0" w:line="240" w:lineRule="auto"/>
        <w:rPr>
          <w:rFonts w:eastAsia="Arial"/>
          <w:i/>
          <w:iCs/>
          <w:sz w:val="24"/>
          <w:szCs w:val="24"/>
        </w:rPr>
      </w:pPr>
    </w:p>
    <w:p w14:paraId="3E89893E" w14:textId="77777777" w:rsidR="00AD5955" w:rsidRPr="00D147DC" w:rsidRDefault="00AD5955" w:rsidP="00AD5955">
      <w:pPr>
        <w:spacing w:after="0" w:line="240" w:lineRule="auto"/>
        <w:rPr>
          <w:rFonts w:eastAsia="Arial"/>
          <w:b/>
          <w:bCs/>
          <w:sz w:val="24"/>
          <w:szCs w:val="24"/>
        </w:rPr>
      </w:pPr>
      <w:r w:rsidRPr="00D147DC">
        <w:rPr>
          <w:rFonts w:eastAsia="Arial"/>
          <w:sz w:val="24"/>
          <w:szCs w:val="24"/>
        </w:rPr>
        <w:t xml:space="preserve">Resilience indicators can also help practitioners and policy makers understand costs and benefits of enhancing resilience at all scales. Importantly, resilience indicators can provide </w:t>
      </w:r>
      <w:r w:rsidRPr="00D147DC">
        <w:rPr>
          <w:rFonts w:eastAsia="Arial"/>
          <w:sz w:val="24"/>
          <w:szCs w:val="24"/>
        </w:rPr>
        <w:lastRenderedPageBreak/>
        <w:t>insight into the complexity, interdependence, and uncertainty that exists in communities and vulnerability to external events or stressors.</w:t>
      </w:r>
      <w:r w:rsidRPr="00D147DC">
        <w:rPr>
          <w:rFonts w:eastAsia="Arial"/>
          <w:b/>
          <w:bCs/>
          <w:sz w:val="24"/>
          <w:szCs w:val="24"/>
        </w:rPr>
        <w:t xml:space="preserve">  </w:t>
      </w:r>
    </w:p>
    <w:p w14:paraId="3D62E624" w14:textId="77777777" w:rsidR="00AD5955" w:rsidRPr="00D147DC" w:rsidRDefault="00AD5955" w:rsidP="00AD5955">
      <w:pPr>
        <w:spacing w:after="0" w:line="240" w:lineRule="auto"/>
        <w:rPr>
          <w:rFonts w:eastAsia="Arial"/>
          <w:b/>
          <w:bCs/>
          <w:sz w:val="24"/>
          <w:szCs w:val="24"/>
        </w:rPr>
      </w:pPr>
    </w:p>
    <w:p w14:paraId="1623CC05" w14:textId="77777777" w:rsidR="00AD5955" w:rsidRPr="002D68AD" w:rsidRDefault="00AD5955" w:rsidP="00AD5955">
      <w:pPr>
        <w:spacing w:after="0" w:line="240" w:lineRule="auto"/>
        <w:rPr>
          <w:rFonts w:eastAsia="Arial"/>
          <w:b/>
          <w:bCs/>
          <w:sz w:val="28"/>
          <w:szCs w:val="28"/>
        </w:rPr>
      </w:pPr>
      <w:r w:rsidRPr="002D68AD">
        <w:rPr>
          <w:rFonts w:eastAsia="Arial"/>
          <w:b/>
          <w:bCs/>
          <w:sz w:val="28"/>
          <w:szCs w:val="28"/>
        </w:rPr>
        <w:t>Resources to learn more:</w:t>
      </w:r>
    </w:p>
    <w:p w14:paraId="7656A698" w14:textId="77777777" w:rsidR="00AD5955" w:rsidRPr="00D147DC" w:rsidRDefault="00AD5955" w:rsidP="00AD5955">
      <w:pPr>
        <w:pStyle w:val="ListParagraph"/>
        <w:numPr>
          <w:ilvl w:val="0"/>
          <w:numId w:val="9"/>
        </w:numPr>
        <w:contextualSpacing/>
        <w:textAlignment w:val="auto"/>
        <w:rPr>
          <w:rFonts w:eastAsia="Arial"/>
        </w:rPr>
      </w:pPr>
      <w:r w:rsidRPr="00D147DC">
        <w:rPr>
          <w:rFonts w:eastAsia="Arial"/>
        </w:rPr>
        <w:t xml:space="preserve">FEMA. 2022. </w:t>
      </w:r>
      <w:r w:rsidRPr="00D147DC">
        <w:rPr>
          <w:rFonts w:eastAsia="Arial"/>
          <w:i/>
          <w:iCs/>
        </w:rPr>
        <w:t>Commonly Used Indicators from Peer-Reviewed Research.</w:t>
      </w:r>
      <w:r w:rsidRPr="00D147DC">
        <w:rPr>
          <w:rFonts w:eastAsia="Arial"/>
        </w:rPr>
        <w:t xml:space="preserve"> Washington, D.C., Federal Emergency Management Agency. </w:t>
      </w:r>
      <w:hyperlink r:id="rId24" w:history="1">
        <w:r w:rsidRPr="00D147DC">
          <w:rPr>
            <w:rStyle w:val="Hyperlink"/>
            <w:rFonts w:eastAsia="Arial"/>
          </w:rPr>
          <w:t>https://www.fema.gov/sites/default/files/documents/fema_2022-community-resilience-indicator-analysis.pdf</w:t>
        </w:r>
      </w:hyperlink>
      <w:r w:rsidRPr="00D147DC">
        <w:rPr>
          <w:rFonts w:eastAsia="Arial"/>
        </w:rPr>
        <w:t xml:space="preserve"> </w:t>
      </w:r>
    </w:p>
    <w:p w14:paraId="7541F9B2" w14:textId="77777777" w:rsidR="00AD5955" w:rsidRPr="00D147DC" w:rsidRDefault="00AD5955" w:rsidP="00AD5955">
      <w:pPr>
        <w:pStyle w:val="ListParagraph"/>
        <w:numPr>
          <w:ilvl w:val="0"/>
          <w:numId w:val="9"/>
        </w:numPr>
        <w:contextualSpacing/>
        <w:textAlignment w:val="auto"/>
        <w:rPr>
          <w:rFonts w:eastAsia="Arial"/>
        </w:rPr>
      </w:pPr>
      <w:r w:rsidRPr="00D147DC">
        <w:rPr>
          <w:rFonts w:eastAsia="Arial"/>
        </w:rPr>
        <w:t xml:space="preserve">FEMA. </w:t>
      </w:r>
      <w:r w:rsidRPr="00D147DC">
        <w:rPr>
          <w:rFonts w:eastAsia="Arial"/>
          <w:i/>
          <w:iCs/>
        </w:rPr>
        <w:t>Resilience Analysis and Planning Tool.</w:t>
      </w:r>
      <w:r w:rsidRPr="00D147DC">
        <w:rPr>
          <w:rFonts w:eastAsia="Arial"/>
        </w:rPr>
        <w:t xml:space="preserve"> Washington, D.C., Federal Emergency Management Agency. </w:t>
      </w:r>
      <w:hyperlink r:id="rId25" w:history="1">
        <w:r w:rsidRPr="00D147DC">
          <w:rPr>
            <w:rStyle w:val="Hyperlink"/>
            <w:rFonts w:eastAsia="Arial"/>
          </w:rPr>
          <w:t>https://fema.maps.arcgis.com/apps/webappviewer/index.html?id=90c0c996a5e242a79345cdbc5f758fc6</w:t>
        </w:r>
      </w:hyperlink>
      <w:r w:rsidRPr="00D147DC">
        <w:rPr>
          <w:rFonts w:eastAsia="Arial"/>
        </w:rPr>
        <w:t xml:space="preserve"> </w:t>
      </w:r>
    </w:p>
    <w:p w14:paraId="7F1511D4" w14:textId="77777777" w:rsidR="00AD5955" w:rsidRPr="00D147DC" w:rsidRDefault="00AD5955" w:rsidP="00AD5955">
      <w:pPr>
        <w:pStyle w:val="ListParagraph"/>
        <w:numPr>
          <w:ilvl w:val="0"/>
          <w:numId w:val="9"/>
        </w:numPr>
        <w:contextualSpacing/>
        <w:textAlignment w:val="auto"/>
        <w:rPr>
          <w:rFonts w:eastAsia="Arial"/>
        </w:rPr>
      </w:pPr>
      <w:r w:rsidRPr="00D147DC">
        <w:rPr>
          <w:rFonts w:eastAsia="Arial"/>
        </w:rPr>
        <w:t xml:space="preserve">U.S. EPA. 2017. </w:t>
      </w:r>
      <w:r w:rsidRPr="00D147DC">
        <w:rPr>
          <w:rFonts w:eastAsia="Arial"/>
          <w:i/>
          <w:iCs/>
        </w:rPr>
        <w:t>Evaluating Urban Resilience to Climate Change: A Multi-Sector Approach (Final Report).</w:t>
      </w:r>
      <w:r w:rsidRPr="00D147DC">
        <w:rPr>
          <w:rFonts w:eastAsia="Arial"/>
        </w:rPr>
        <w:t xml:space="preserve"> U.S. Environmental Protection Agency, Washington, D.C., EPA/600/R-16/365F.</w:t>
      </w:r>
    </w:p>
    <w:p w14:paraId="52047996" w14:textId="77777777" w:rsidR="002D68AD" w:rsidRDefault="002D68AD" w:rsidP="00AD5955">
      <w:pPr>
        <w:spacing w:after="0" w:line="240" w:lineRule="auto"/>
        <w:rPr>
          <w:rFonts w:eastAsia="Arial"/>
          <w:b/>
          <w:bCs/>
          <w:sz w:val="24"/>
          <w:szCs w:val="24"/>
        </w:rPr>
      </w:pPr>
    </w:p>
    <w:p w14:paraId="6659EF12" w14:textId="1308C1EE" w:rsidR="00AD5955" w:rsidRPr="002D68AD" w:rsidRDefault="00AD5955" w:rsidP="00AD5955">
      <w:pPr>
        <w:spacing w:after="0" w:line="240" w:lineRule="auto"/>
        <w:rPr>
          <w:rFonts w:eastAsia="Arial"/>
          <w:b/>
          <w:bCs/>
          <w:sz w:val="28"/>
          <w:szCs w:val="28"/>
        </w:rPr>
      </w:pPr>
      <w:r w:rsidRPr="002D68AD">
        <w:rPr>
          <w:rFonts w:eastAsia="Arial"/>
          <w:b/>
          <w:bCs/>
          <w:sz w:val="28"/>
          <w:szCs w:val="28"/>
        </w:rPr>
        <w:t>References</w:t>
      </w:r>
    </w:p>
    <w:p w14:paraId="23356586" w14:textId="77777777" w:rsidR="00AD5955" w:rsidRPr="00D147DC" w:rsidRDefault="00AD5955" w:rsidP="00AD5955">
      <w:pPr>
        <w:spacing w:after="0" w:line="240" w:lineRule="auto"/>
        <w:ind w:left="720" w:hanging="720"/>
        <w:rPr>
          <w:sz w:val="24"/>
          <w:szCs w:val="24"/>
          <w:shd w:val="clear" w:color="auto" w:fill="FCFCFC"/>
        </w:rPr>
      </w:pPr>
      <w:r w:rsidRPr="00D147DC">
        <w:rPr>
          <w:sz w:val="24"/>
          <w:szCs w:val="24"/>
          <w:shd w:val="clear" w:color="auto" w:fill="FCFCFC"/>
        </w:rPr>
        <w:t>[1] Cutter. 2016. The landscape of disaster resilience indicators in the USA. </w:t>
      </w:r>
      <w:r w:rsidRPr="00D147DC">
        <w:rPr>
          <w:i/>
          <w:iCs/>
          <w:sz w:val="24"/>
          <w:szCs w:val="24"/>
          <w:shd w:val="clear" w:color="auto" w:fill="FCFCFC"/>
        </w:rPr>
        <w:t>Natural Hazards</w:t>
      </w:r>
      <w:r w:rsidRPr="00D147DC">
        <w:rPr>
          <w:sz w:val="24"/>
          <w:szCs w:val="24"/>
          <w:shd w:val="clear" w:color="auto" w:fill="FCFCFC"/>
        </w:rPr>
        <w:t xml:space="preserve"> 80, 741–758. </w:t>
      </w:r>
      <w:hyperlink r:id="rId26" w:history="1">
        <w:r w:rsidRPr="00D147DC">
          <w:rPr>
            <w:rStyle w:val="Hyperlink"/>
            <w:sz w:val="24"/>
            <w:szCs w:val="24"/>
            <w:shd w:val="clear" w:color="auto" w:fill="FCFCFC"/>
          </w:rPr>
          <w:t>https://doi.org/10.1007/s11069-015-1993-2</w:t>
        </w:r>
      </w:hyperlink>
    </w:p>
    <w:p w14:paraId="5284934E" w14:textId="77777777" w:rsidR="00AD5955" w:rsidRPr="00D147DC" w:rsidRDefault="00AD5955" w:rsidP="00AD5955">
      <w:pPr>
        <w:spacing w:after="0" w:line="240" w:lineRule="auto"/>
        <w:ind w:left="720" w:hanging="720"/>
        <w:rPr>
          <w:rFonts w:ascii="Calibri" w:eastAsia="Calibri" w:hAnsi="Calibri" w:cs="Calibri"/>
          <w:sz w:val="24"/>
          <w:szCs w:val="24"/>
        </w:rPr>
      </w:pPr>
      <w:r w:rsidRPr="00D147DC">
        <w:rPr>
          <w:rFonts w:eastAsia="Arial"/>
          <w:sz w:val="24"/>
          <w:szCs w:val="24"/>
        </w:rPr>
        <w:t xml:space="preserve">[2] </w:t>
      </w:r>
      <w:r w:rsidRPr="00D147DC">
        <w:rPr>
          <w:rFonts w:ascii="Calibri" w:eastAsia="Calibri" w:hAnsi="Calibri" w:cs="Calibri"/>
          <w:sz w:val="24"/>
          <w:szCs w:val="24"/>
        </w:rPr>
        <w:t xml:space="preserve">Sinha, et al. 2022. Assessing Community Vulnerability to Extreme Events in the Presence of Contaminated Sites and Waste Management Facilities: An Indicator Approach. </w:t>
      </w:r>
      <w:hyperlink r:id="rId27">
        <w:r w:rsidRPr="00D147DC">
          <w:rPr>
            <w:rStyle w:val="Hyperlink"/>
            <w:rFonts w:ascii="Calibri" w:eastAsia="Calibri" w:hAnsi="Calibri" w:cs="Calibri"/>
            <w:sz w:val="24"/>
            <w:szCs w:val="24"/>
          </w:rPr>
          <w:t>https://papers.ssrn.com/sol3/papers.cfm?abstract_id=4232780</w:t>
        </w:r>
      </w:hyperlink>
      <w:r w:rsidRPr="00D147DC">
        <w:rPr>
          <w:rFonts w:ascii="Calibri" w:eastAsia="Calibri" w:hAnsi="Calibri" w:cs="Calibri"/>
          <w:sz w:val="24"/>
          <w:szCs w:val="24"/>
        </w:rPr>
        <w:t xml:space="preserve"> </w:t>
      </w:r>
    </w:p>
    <w:p w14:paraId="4313F812" w14:textId="77777777" w:rsidR="00AD5955" w:rsidRPr="00D147DC" w:rsidRDefault="00AD5955" w:rsidP="00AD5955">
      <w:pPr>
        <w:spacing w:after="0" w:line="240" w:lineRule="auto"/>
        <w:ind w:left="720" w:hanging="720"/>
        <w:rPr>
          <w:rFonts w:eastAsia="Arial"/>
          <w:sz w:val="24"/>
          <w:szCs w:val="24"/>
        </w:rPr>
      </w:pPr>
    </w:p>
    <w:p w14:paraId="7020911E" w14:textId="77777777" w:rsidR="00AD5955" w:rsidRPr="00D147DC" w:rsidRDefault="00AD5955" w:rsidP="00AD5955">
      <w:pPr>
        <w:spacing w:after="0" w:line="240" w:lineRule="auto"/>
        <w:ind w:left="720" w:hanging="720"/>
        <w:rPr>
          <w:rFonts w:eastAsia="Arial" w:cstheme="minorHAnsi"/>
          <w:sz w:val="24"/>
          <w:szCs w:val="24"/>
        </w:rPr>
      </w:pPr>
    </w:p>
    <w:p w14:paraId="2C6C3026" w14:textId="3D21E999" w:rsidR="00730611" w:rsidRDefault="00730611">
      <w:pPr>
        <w:rPr>
          <w:rFonts w:eastAsia="Arial" w:cstheme="minorHAnsi"/>
          <w:sz w:val="24"/>
          <w:szCs w:val="24"/>
        </w:rPr>
      </w:pPr>
      <w:r>
        <w:rPr>
          <w:rFonts w:eastAsia="Arial" w:cstheme="minorHAnsi"/>
          <w:sz w:val="24"/>
          <w:szCs w:val="24"/>
        </w:rPr>
        <w:br w:type="page"/>
      </w:r>
    </w:p>
    <w:p w14:paraId="590B598A" w14:textId="77777777" w:rsidR="00AD5955" w:rsidRPr="00D147DC" w:rsidRDefault="00AD5955" w:rsidP="00AD5955">
      <w:pPr>
        <w:spacing w:after="0" w:line="240" w:lineRule="auto"/>
        <w:rPr>
          <w:rFonts w:eastAsia="Arial" w:cstheme="minorHAnsi"/>
          <w:sz w:val="24"/>
          <w:szCs w:val="24"/>
        </w:rPr>
      </w:pPr>
    </w:p>
    <w:p w14:paraId="4D7FEC35" w14:textId="77777777" w:rsidR="00AD5955" w:rsidRPr="00D147DC" w:rsidRDefault="00AD5955" w:rsidP="00AD5955">
      <w:pPr>
        <w:spacing w:after="0" w:line="240" w:lineRule="auto"/>
        <w:ind w:left="720" w:hanging="720"/>
        <w:rPr>
          <w:rFonts w:eastAsia="Arial" w:cstheme="minorHAnsi"/>
          <w:sz w:val="24"/>
          <w:szCs w:val="24"/>
        </w:rPr>
      </w:pPr>
    </w:p>
    <w:p w14:paraId="2BDBFE3F" w14:textId="77777777" w:rsidR="00AD5955" w:rsidRPr="00D147DC" w:rsidRDefault="00AD5955" w:rsidP="007F5B6B">
      <w:pPr>
        <w:pStyle w:val="paragraph"/>
        <w:spacing w:before="0" w:beforeAutospacing="0" w:after="0" w:afterAutospacing="0"/>
        <w:rPr>
          <w:rFonts w:ascii="Calibri" w:hAnsi="Calibri" w:cs="Calibri"/>
          <w:color w:val="000000" w:themeColor="text1"/>
        </w:rPr>
      </w:pPr>
    </w:p>
    <w:sectPr w:rsidR="00AD5955" w:rsidRPr="00D147DC">
      <w:headerReference w:type="default" r:id="rId28"/>
      <w:footerReference w:type="even"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0422" w14:textId="77777777" w:rsidR="00B215B9" w:rsidRDefault="00B215B9" w:rsidP="00324713">
      <w:pPr>
        <w:spacing w:after="0" w:line="240" w:lineRule="auto"/>
      </w:pPr>
      <w:r>
        <w:separator/>
      </w:r>
    </w:p>
  </w:endnote>
  <w:endnote w:type="continuationSeparator" w:id="0">
    <w:p w14:paraId="3CA3AE9F" w14:textId="77777777" w:rsidR="00B215B9" w:rsidRDefault="00B215B9" w:rsidP="00324713">
      <w:pPr>
        <w:spacing w:after="0" w:line="240" w:lineRule="auto"/>
      </w:pPr>
      <w:r>
        <w:continuationSeparator/>
      </w:r>
    </w:p>
  </w:endnote>
  <w:endnote w:type="continuationNotice" w:id="1">
    <w:p w14:paraId="30604E22" w14:textId="77777777" w:rsidR="00B215B9" w:rsidRDefault="00B21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E1AE" w14:textId="00A7E7C4" w:rsidR="009E700C" w:rsidRDefault="009E70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FB08F89" w14:textId="77777777" w:rsidR="009E700C" w:rsidRDefault="009E700C" w:rsidP="009E70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978806"/>
      <w:docPartObj>
        <w:docPartGallery w:val="Page Numbers (Bottom of Page)"/>
        <w:docPartUnique/>
      </w:docPartObj>
    </w:sdtPr>
    <w:sdtEndPr>
      <w:rPr>
        <w:noProof/>
      </w:rPr>
    </w:sdtEndPr>
    <w:sdtContent>
      <w:p w14:paraId="58851C5D" w14:textId="03267ADE" w:rsidR="00C11E61" w:rsidRDefault="00C8459C" w:rsidP="00C8459C">
        <w:pPr>
          <w:pStyle w:val="Footer"/>
          <w:ind w:firstLine="720"/>
          <w:jc w:val="center"/>
        </w:pPr>
        <w:r>
          <w:t xml:space="preserve">     </w:t>
        </w:r>
        <w:hyperlink r:id="rId1" w:history="1">
          <w:r w:rsidR="00091FBD" w:rsidRPr="00E0207D">
            <w:rPr>
              <w:rStyle w:val="Hyperlink"/>
            </w:rPr>
            <w:t>https://www.epa.gov/emergency-response-research/equitable-resilience-builder</w:t>
          </w:r>
        </w:hyperlink>
        <w:r>
          <w:t xml:space="preserve"> </w:t>
        </w:r>
        <w:r>
          <w:tab/>
        </w:r>
        <w:r w:rsidR="00C11E61">
          <w:fldChar w:fldCharType="begin"/>
        </w:r>
        <w:r w:rsidR="00C11E61">
          <w:instrText xml:space="preserve"> PAGE   \* MERGEFORMAT </w:instrText>
        </w:r>
        <w:r w:rsidR="00C11E61">
          <w:fldChar w:fldCharType="separate"/>
        </w:r>
        <w:r w:rsidR="00C11E61">
          <w:rPr>
            <w:noProof/>
          </w:rPr>
          <w:t>2</w:t>
        </w:r>
        <w:r w:rsidR="00C11E61">
          <w:rPr>
            <w:noProof/>
          </w:rPr>
          <w:fldChar w:fldCharType="end"/>
        </w:r>
      </w:p>
    </w:sdtContent>
  </w:sdt>
  <w:p w14:paraId="3A72AD3D" w14:textId="099948A8" w:rsidR="009E700C" w:rsidRDefault="009E700C" w:rsidP="009E7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45CB" w14:textId="77777777" w:rsidR="00B215B9" w:rsidRDefault="00B215B9" w:rsidP="00324713">
      <w:pPr>
        <w:spacing w:after="0" w:line="240" w:lineRule="auto"/>
      </w:pPr>
      <w:r>
        <w:separator/>
      </w:r>
    </w:p>
  </w:footnote>
  <w:footnote w:type="continuationSeparator" w:id="0">
    <w:p w14:paraId="2A4FE333" w14:textId="77777777" w:rsidR="00B215B9" w:rsidRDefault="00B215B9" w:rsidP="00324713">
      <w:pPr>
        <w:spacing w:after="0" w:line="240" w:lineRule="auto"/>
      </w:pPr>
      <w:r>
        <w:continuationSeparator/>
      </w:r>
    </w:p>
  </w:footnote>
  <w:footnote w:type="continuationNotice" w:id="1">
    <w:p w14:paraId="08E4F31D" w14:textId="77777777" w:rsidR="00B215B9" w:rsidRDefault="00B215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335F4" w14:textId="77777777" w:rsidR="00864EE4" w:rsidRPr="00F75089" w:rsidRDefault="005F6B23" w:rsidP="00864EE4">
    <w:pPr>
      <w:pStyle w:val="Header"/>
      <w:rPr>
        <w:b/>
        <w:bCs/>
        <w:color w:val="4472C4" w:themeColor="accent1"/>
        <w:sz w:val="24"/>
        <w:szCs w:val="24"/>
      </w:rPr>
    </w:pPr>
    <w:r>
      <w:rPr>
        <w:noProof/>
      </w:rPr>
      <w:drawing>
        <wp:anchor distT="0" distB="0" distL="114300" distR="114300" simplePos="0" relativeHeight="251658240" behindDoc="1" locked="0" layoutInCell="1" allowOverlap="1" wp14:anchorId="6638C372" wp14:editId="6740E2FF">
          <wp:simplePos x="0" y="0"/>
          <wp:positionH relativeFrom="column">
            <wp:posOffset>0</wp:posOffset>
          </wp:positionH>
          <wp:positionV relativeFrom="paragraph">
            <wp:posOffset>0</wp:posOffset>
          </wp:positionV>
          <wp:extent cx="1093490" cy="431321"/>
          <wp:effectExtent l="0" t="0" r="0" b="6985"/>
          <wp:wrapTight wrapText="bothSides">
            <wp:wrapPolygon edited="0">
              <wp:start x="376" y="0"/>
              <wp:lineTo x="0" y="2863"/>
              <wp:lineTo x="0" y="8589"/>
              <wp:lineTo x="3387" y="15270"/>
              <wp:lineTo x="3387" y="20996"/>
              <wp:lineTo x="9784" y="20996"/>
              <wp:lineTo x="21073" y="18133"/>
              <wp:lineTo x="21073" y="15270"/>
              <wp:lineTo x="12418" y="0"/>
              <wp:lineTo x="376"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93490" cy="431321"/>
                  </a:xfrm>
                  <a:prstGeom prst="rect">
                    <a:avLst/>
                  </a:prstGeom>
                </pic:spPr>
              </pic:pic>
            </a:graphicData>
          </a:graphic>
        </wp:anchor>
      </w:drawing>
    </w:r>
    <w:r w:rsidR="00324713">
      <w:tab/>
    </w:r>
    <w:r w:rsidR="00324713">
      <w:tab/>
    </w:r>
    <w:r w:rsidR="00864EE4" w:rsidRPr="7DEC4884">
      <w:rPr>
        <w:b/>
        <w:bCs/>
        <w:color w:val="4472C4" w:themeColor="accent1"/>
        <w:sz w:val="24"/>
        <w:szCs w:val="24"/>
      </w:rPr>
      <w:t>Equitable Resilience Builder (ERB)</w:t>
    </w:r>
  </w:p>
  <w:p w14:paraId="1029ADE1" w14:textId="609FB585" w:rsidR="00864EE4" w:rsidRDefault="00864EE4" w:rsidP="00864EE4">
    <w:pPr>
      <w:pStyle w:val="Header"/>
      <w:jc w:val="right"/>
    </w:pPr>
    <w:r>
      <w:t>Section: Assess</w:t>
    </w:r>
  </w:p>
  <w:p w14:paraId="3984B146" w14:textId="2A005B38" w:rsidR="00324713" w:rsidRDefault="003247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5C8"/>
    <w:multiLevelType w:val="hybridMultilevel"/>
    <w:tmpl w:val="8A0454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05D84"/>
    <w:multiLevelType w:val="hybridMultilevel"/>
    <w:tmpl w:val="6FFA46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90B6CAE"/>
    <w:multiLevelType w:val="hybridMultilevel"/>
    <w:tmpl w:val="CCE88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A3E35"/>
    <w:multiLevelType w:val="hybridMultilevel"/>
    <w:tmpl w:val="260ACC2A"/>
    <w:lvl w:ilvl="0" w:tplc="7682B5B2">
      <w:numFmt w:val="bullet"/>
      <w:lvlText w:val="-"/>
      <w:lvlJc w:val="left"/>
      <w:pPr>
        <w:ind w:left="1080" w:hanging="360"/>
      </w:pPr>
      <w:rPr>
        <w:rFonts w:ascii="Calibri" w:eastAsia="Malgun Gothic"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BC696E"/>
    <w:multiLevelType w:val="hybridMultilevel"/>
    <w:tmpl w:val="4904A682"/>
    <w:lvl w:ilvl="0" w:tplc="6C880A64">
      <w:start w:val="1"/>
      <w:numFmt w:val="decimal"/>
      <w:lvlText w:val="%1."/>
      <w:lvlJc w:val="left"/>
      <w:pPr>
        <w:ind w:left="720" w:hanging="360"/>
      </w:pPr>
    </w:lvl>
    <w:lvl w:ilvl="1" w:tplc="EABA63F0">
      <w:start w:val="1"/>
      <w:numFmt w:val="lowerLetter"/>
      <w:lvlText w:val="%2."/>
      <w:lvlJc w:val="left"/>
      <w:pPr>
        <w:ind w:left="1440" w:hanging="360"/>
      </w:pPr>
    </w:lvl>
    <w:lvl w:ilvl="2" w:tplc="4D10F712">
      <w:start w:val="1"/>
      <w:numFmt w:val="lowerRoman"/>
      <w:lvlText w:val="%3."/>
      <w:lvlJc w:val="right"/>
      <w:pPr>
        <w:ind w:left="2160" w:hanging="180"/>
      </w:pPr>
    </w:lvl>
    <w:lvl w:ilvl="3" w:tplc="24ECB536">
      <w:start w:val="1"/>
      <w:numFmt w:val="decimal"/>
      <w:lvlText w:val="%4."/>
      <w:lvlJc w:val="left"/>
      <w:pPr>
        <w:ind w:left="2880" w:hanging="360"/>
      </w:pPr>
    </w:lvl>
    <w:lvl w:ilvl="4" w:tplc="84FE646E">
      <w:start w:val="1"/>
      <w:numFmt w:val="lowerLetter"/>
      <w:lvlText w:val="%5."/>
      <w:lvlJc w:val="left"/>
      <w:pPr>
        <w:ind w:left="3600" w:hanging="360"/>
      </w:pPr>
    </w:lvl>
    <w:lvl w:ilvl="5" w:tplc="4ED6F95A">
      <w:start w:val="1"/>
      <w:numFmt w:val="lowerRoman"/>
      <w:lvlText w:val="%6."/>
      <w:lvlJc w:val="right"/>
      <w:pPr>
        <w:ind w:left="4320" w:hanging="180"/>
      </w:pPr>
    </w:lvl>
    <w:lvl w:ilvl="6" w:tplc="B092503E">
      <w:start w:val="1"/>
      <w:numFmt w:val="decimal"/>
      <w:lvlText w:val="%7."/>
      <w:lvlJc w:val="left"/>
      <w:pPr>
        <w:ind w:left="5040" w:hanging="360"/>
      </w:pPr>
    </w:lvl>
    <w:lvl w:ilvl="7" w:tplc="BE30B664">
      <w:start w:val="1"/>
      <w:numFmt w:val="lowerLetter"/>
      <w:lvlText w:val="%8."/>
      <w:lvlJc w:val="left"/>
      <w:pPr>
        <w:ind w:left="5760" w:hanging="360"/>
      </w:pPr>
    </w:lvl>
    <w:lvl w:ilvl="8" w:tplc="A4607EEA">
      <w:start w:val="1"/>
      <w:numFmt w:val="lowerRoman"/>
      <w:lvlText w:val="%9."/>
      <w:lvlJc w:val="right"/>
      <w:pPr>
        <w:ind w:left="6480" w:hanging="180"/>
      </w:pPr>
    </w:lvl>
  </w:abstractNum>
  <w:abstractNum w:abstractNumId="5" w15:restartNumberingAfterBreak="0">
    <w:nsid w:val="40EF7486"/>
    <w:multiLevelType w:val="hybridMultilevel"/>
    <w:tmpl w:val="E96C6A86"/>
    <w:lvl w:ilvl="0" w:tplc="0D0E2222">
      <w:start w:val="1"/>
      <w:numFmt w:val="decimal"/>
      <w:lvlText w:val="%1."/>
      <w:lvlJc w:val="left"/>
      <w:pPr>
        <w:ind w:left="720" w:hanging="360"/>
      </w:pPr>
    </w:lvl>
    <w:lvl w:ilvl="1" w:tplc="E33048E0">
      <w:start w:val="1"/>
      <w:numFmt w:val="lowerLetter"/>
      <w:lvlText w:val="%2."/>
      <w:lvlJc w:val="left"/>
      <w:pPr>
        <w:ind w:left="1440" w:hanging="360"/>
      </w:pPr>
    </w:lvl>
    <w:lvl w:ilvl="2" w:tplc="11147274">
      <w:start w:val="1"/>
      <w:numFmt w:val="lowerRoman"/>
      <w:lvlText w:val="%3."/>
      <w:lvlJc w:val="right"/>
      <w:pPr>
        <w:ind w:left="2160" w:hanging="180"/>
      </w:pPr>
    </w:lvl>
    <w:lvl w:ilvl="3" w:tplc="3B6644AA">
      <w:start w:val="1"/>
      <w:numFmt w:val="decimal"/>
      <w:lvlText w:val="%4."/>
      <w:lvlJc w:val="left"/>
      <w:pPr>
        <w:ind w:left="2880" w:hanging="360"/>
      </w:pPr>
    </w:lvl>
    <w:lvl w:ilvl="4" w:tplc="B3428166">
      <w:start w:val="1"/>
      <w:numFmt w:val="lowerLetter"/>
      <w:lvlText w:val="%5."/>
      <w:lvlJc w:val="left"/>
      <w:pPr>
        <w:ind w:left="3600" w:hanging="360"/>
      </w:pPr>
    </w:lvl>
    <w:lvl w:ilvl="5" w:tplc="8E746C64">
      <w:start w:val="1"/>
      <w:numFmt w:val="lowerRoman"/>
      <w:lvlText w:val="%6."/>
      <w:lvlJc w:val="right"/>
      <w:pPr>
        <w:ind w:left="4320" w:hanging="180"/>
      </w:pPr>
    </w:lvl>
    <w:lvl w:ilvl="6" w:tplc="9550B974">
      <w:start w:val="1"/>
      <w:numFmt w:val="decimal"/>
      <w:lvlText w:val="%7."/>
      <w:lvlJc w:val="left"/>
      <w:pPr>
        <w:ind w:left="5040" w:hanging="360"/>
      </w:pPr>
    </w:lvl>
    <w:lvl w:ilvl="7" w:tplc="1E38C47C">
      <w:start w:val="1"/>
      <w:numFmt w:val="lowerLetter"/>
      <w:lvlText w:val="%8."/>
      <w:lvlJc w:val="left"/>
      <w:pPr>
        <w:ind w:left="5760" w:hanging="360"/>
      </w:pPr>
    </w:lvl>
    <w:lvl w:ilvl="8" w:tplc="437C5C40">
      <w:start w:val="1"/>
      <w:numFmt w:val="lowerRoman"/>
      <w:lvlText w:val="%9."/>
      <w:lvlJc w:val="right"/>
      <w:pPr>
        <w:ind w:left="6480" w:hanging="180"/>
      </w:pPr>
    </w:lvl>
  </w:abstractNum>
  <w:abstractNum w:abstractNumId="6" w15:restartNumberingAfterBreak="0">
    <w:nsid w:val="432E57E0"/>
    <w:multiLevelType w:val="hybridMultilevel"/>
    <w:tmpl w:val="D1D44CAC"/>
    <w:lvl w:ilvl="0" w:tplc="BB6CA462">
      <w:start w:val="1"/>
      <w:numFmt w:val="bullet"/>
      <w:lvlText w:val=""/>
      <w:lvlJc w:val="left"/>
      <w:pPr>
        <w:ind w:left="720" w:hanging="360"/>
      </w:pPr>
      <w:rPr>
        <w:rFonts w:ascii="Symbol" w:hAnsi="Symbol" w:hint="default"/>
      </w:rPr>
    </w:lvl>
    <w:lvl w:ilvl="1" w:tplc="B13E1F5C">
      <w:start w:val="1"/>
      <w:numFmt w:val="bullet"/>
      <w:lvlText w:val="o"/>
      <w:lvlJc w:val="left"/>
      <w:pPr>
        <w:ind w:left="1440" w:hanging="360"/>
      </w:pPr>
      <w:rPr>
        <w:rFonts w:ascii="Courier New" w:hAnsi="Courier New" w:hint="default"/>
      </w:rPr>
    </w:lvl>
    <w:lvl w:ilvl="2" w:tplc="6C989D4E">
      <w:start w:val="1"/>
      <w:numFmt w:val="bullet"/>
      <w:lvlText w:val=""/>
      <w:lvlJc w:val="left"/>
      <w:pPr>
        <w:ind w:left="2160" w:hanging="360"/>
      </w:pPr>
      <w:rPr>
        <w:rFonts w:ascii="Wingdings" w:hAnsi="Wingdings" w:hint="default"/>
      </w:rPr>
    </w:lvl>
    <w:lvl w:ilvl="3" w:tplc="62CED3B8">
      <w:start w:val="1"/>
      <w:numFmt w:val="bullet"/>
      <w:lvlText w:val=""/>
      <w:lvlJc w:val="left"/>
      <w:pPr>
        <w:ind w:left="2880" w:hanging="360"/>
      </w:pPr>
      <w:rPr>
        <w:rFonts w:ascii="Symbol" w:hAnsi="Symbol" w:hint="default"/>
      </w:rPr>
    </w:lvl>
    <w:lvl w:ilvl="4" w:tplc="DA629C9C">
      <w:start w:val="1"/>
      <w:numFmt w:val="bullet"/>
      <w:lvlText w:val="o"/>
      <w:lvlJc w:val="left"/>
      <w:pPr>
        <w:ind w:left="3600" w:hanging="360"/>
      </w:pPr>
      <w:rPr>
        <w:rFonts w:ascii="Courier New" w:hAnsi="Courier New" w:hint="default"/>
      </w:rPr>
    </w:lvl>
    <w:lvl w:ilvl="5" w:tplc="7F36B38C">
      <w:start w:val="1"/>
      <w:numFmt w:val="bullet"/>
      <w:lvlText w:val=""/>
      <w:lvlJc w:val="left"/>
      <w:pPr>
        <w:ind w:left="4320" w:hanging="360"/>
      </w:pPr>
      <w:rPr>
        <w:rFonts w:ascii="Wingdings" w:hAnsi="Wingdings" w:hint="default"/>
      </w:rPr>
    </w:lvl>
    <w:lvl w:ilvl="6" w:tplc="AF9C80A4">
      <w:start w:val="1"/>
      <w:numFmt w:val="bullet"/>
      <w:lvlText w:val=""/>
      <w:lvlJc w:val="left"/>
      <w:pPr>
        <w:ind w:left="5040" w:hanging="360"/>
      </w:pPr>
      <w:rPr>
        <w:rFonts w:ascii="Symbol" w:hAnsi="Symbol" w:hint="default"/>
      </w:rPr>
    </w:lvl>
    <w:lvl w:ilvl="7" w:tplc="732485B6">
      <w:start w:val="1"/>
      <w:numFmt w:val="bullet"/>
      <w:lvlText w:val="o"/>
      <w:lvlJc w:val="left"/>
      <w:pPr>
        <w:ind w:left="5760" w:hanging="360"/>
      </w:pPr>
      <w:rPr>
        <w:rFonts w:ascii="Courier New" w:hAnsi="Courier New" w:hint="default"/>
      </w:rPr>
    </w:lvl>
    <w:lvl w:ilvl="8" w:tplc="29C4A6BC">
      <w:start w:val="1"/>
      <w:numFmt w:val="bullet"/>
      <w:lvlText w:val=""/>
      <w:lvlJc w:val="left"/>
      <w:pPr>
        <w:ind w:left="6480" w:hanging="360"/>
      </w:pPr>
      <w:rPr>
        <w:rFonts w:ascii="Wingdings" w:hAnsi="Wingdings" w:hint="default"/>
      </w:rPr>
    </w:lvl>
  </w:abstractNum>
  <w:abstractNum w:abstractNumId="7" w15:restartNumberingAfterBreak="0">
    <w:nsid w:val="4B774607"/>
    <w:multiLevelType w:val="multilevel"/>
    <w:tmpl w:val="5A4EDAB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2DEFE9"/>
    <w:multiLevelType w:val="hybridMultilevel"/>
    <w:tmpl w:val="6FFA46A2"/>
    <w:lvl w:ilvl="0" w:tplc="0409000F">
      <w:start w:val="1"/>
      <w:numFmt w:val="decimal"/>
      <w:lvlText w:val="%1."/>
      <w:lvlJc w:val="left"/>
      <w:pPr>
        <w:ind w:left="720" w:hanging="360"/>
      </w:pPr>
      <w:rPr>
        <w:rFonts w:hint="default"/>
      </w:rPr>
    </w:lvl>
    <w:lvl w:ilvl="1" w:tplc="D19CFF26">
      <w:start w:val="1"/>
      <w:numFmt w:val="lowerLetter"/>
      <w:lvlText w:val="%2."/>
      <w:lvlJc w:val="left"/>
      <w:pPr>
        <w:ind w:left="1440" w:hanging="360"/>
      </w:pPr>
    </w:lvl>
    <w:lvl w:ilvl="2" w:tplc="F9B2DA5E">
      <w:start w:val="1"/>
      <w:numFmt w:val="lowerRoman"/>
      <w:lvlText w:val="%3."/>
      <w:lvlJc w:val="right"/>
      <w:pPr>
        <w:ind w:left="2160" w:hanging="180"/>
      </w:pPr>
    </w:lvl>
    <w:lvl w:ilvl="3" w:tplc="EE502618">
      <w:start w:val="1"/>
      <w:numFmt w:val="decimal"/>
      <w:lvlText w:val="%4."/>
      <w:lvlJc w:val="left"/>
      <w:pPr>
        <w:ind w:left="2880" w:hanging="360"/>
      </w:pPr>
    </w:lvl>
    <w:lvl w:ilvl="4" w:tplc="CCD6BB70">
      <w:start w:val="1"/>
      <w:numFmt w:val="lowerLetter"/>
      <w:lvlText w:val="%5."/>
      <w:lvlJc w:val="left"/>
      <w:pPr>
        <w:ind w:left="3600" w:hanging="360"/>
      </w:pPr>
    </w:lvl>
    <w:lvl w:ilvl="5" w:tplc="47F03986">
      <w:start w:val="1"/>
      <w:numFmt w:val="lowerRoman"/>
      <w:lvlText w:val="%6."/>
      <w:lvlJc w:val="right"/>
      <w:pPr>
        <w:ind w:left="4320" w:hanging="180"/>
      </w:pPr>
    </w:lvl>
    <w:lvl w:ilvl="6" w:tplc="56E27612">
      <w:start w:val="1"/>
      <w:numFmt w:val="decimal"/>
      <w:lvlText w:val="%7."/>
      <w:lvlJc w:val="left"/>
      <w:pPr>
        <w:ind w:left="5040" w:hanging="360"/>
      </w:pPr>
    </w:lvl>
    <w:lvl w:ilvl="7" w:tplc="FB207E68">
      <w:start w:val="1"/>
      <w:numFmt w:val="lowerLetter"/>
      <w:lvlText w:val="%8."/>
      <w:lvlJc w:val="left"/>
      <w:pPr>
        <w:ind w:left="5760" w:hanging="360"/>
      </w:pPr>
    </w:lvl>
    <w:lvl w:ilvl="8" w:tplc="FBA8E1AE">
      <w:start w:val="1"/>
      <w:numFmt w:val="lowerRoman"/>
      <w:lvlText w:val="%9."/>
      <w:lvlJc w:val="right"/>
      <w:pPr>
        <w:ind w:left="6480" w:hanging="180"/>
      </w:pPr>
    </w:lvl>
  </w:abstractNum>
  <w:abstractNum w:abstractNumId="9" w15:restartNumberingAfterBreak="0">
    <w:nsid w:val="734D34C7"/>
    <w:multiLevelType w:val="hybridMultilevel"/>
    <w:tmpl w:val="6FFA46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5825239">
    <w:abstractNumId w:val="5"/>
  </w:num>
  <w:num w:numId="2" w16cid:durableId="1559851923">
    <w:abstractNumId w:val="8"/>
  </w:num>
  <w:num w:numId="3" w16cid:durableId="358045037">
    <w:abstractNumId w:val="4"/>
  </w:num>
  <w:num w:numId="4" w16cid:durableId="1883051699">
    <w:abstractNumId w:val="7"/>
  </w:num>
  <w:num w:numId="5" w16cid:durableId="1659531915">
    <w:abstractNumId w:val="9"/>
  </w:num>
  <w:num w:numId="6" w16cid:durableId="1508055691">
    <w:abstractNumId w:val="1"/>
  </w:num>
  <w:num w:numId="7" w16cid:durableId="201485362">
    <w:abstractNumId w:val="0"/>
  </w:num>
  <w:num w:numId="8" w16cid:durableId="421265576">
    <w:abstractNumId w:val="2"/>
  </w:num>
  <w:num w:numId="9" w16cid:durableId="221602478">
    <w:abstractNumId w:val="6"/>
  </w:num>
  <w:num w:numId="10" w16cid:durableId="74750732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F3"/>
    <w:rsid w:val="0000413A"/>
    <w:rsid w:val="0001518B"/>
    <w:rsid w:val="000207E1"/>
    <w:rsid w:val="00022E9F"/>
    <w:rsid w:val="00042D31"/>
    <w:rsid w:val="00073E8E"/>
    <w:rsid w:val="00077919"/>
    <w:rsid w:val="00082CAE"/>
    <w:rsid w:val="00090CDC"/>
    <w:rsid w:val="00091FBD"/>
    <w:rsid w:val="00093645"/>
    <w:rsid w:val="000A1EAC"/>
    <w:rsid w:val="000C21AD"/>
    <w:rsid w:val="000C2F66"/>
    <w:rsid w:val="00122B50"/>
    <w:rsid w:val="001235FF"/>
    <w:rsid w:val="00131F07"/>
    <w:rsid w:val="001568B7"/>
    <w:rsid w:val="00162502"/>
    <w:rsid w:val="0016649D"/>
    <w:rsid w:val="00177F89"/>
    <w:rsid w:val="001818CF"/>
    <w:rsid w:val="00181E1D"/>
    <w:rsid w:val="001932D3"/>
    <w:rsid w:val="001A15B4"/>
    <w:rsid w:val="001D4FE2"/>
    <w:rsid w:val="001E32D5"/>
    <w:rsid w:val="001F132A"/>
    <w:rsid w:val="002217DE"/>
    <w:rsid w:val="002238AB"/>
    <w:rsid w:val="00236173"/>
    <w:rsid w:val="00244140"/>
    <w:rsid w:val="00264499"/>
    <w:rsid w:val="002B1216"/>
    <w:rsid w:val="002B6987"/>
    <w:rsid w:val="002D68AD"/>
    <w:rsid w:val="002E1643"/>
    <w:rsid w:val="002F3B04"/>
    <w:rsid w:val="0031119E"/>
    <w:rsid w:val="00324713"/>
    <w:rsid w:val="00346487"/>
    <w:rsid w:val="00350996"/>
    <w:rsid w:val="0036027C"/>
    <w:rsid w:val="003625AD"/>
    <w:rsid w:val="003634BA"/>
    <w:rsid w:val="003733C4"/>
    <w:rsid w:val="003746E6"/>
    <w:rsid w:val="00374B97"/>
    <w:rsid w:val="00391607"/>
    <w:rsid w:val="003B1AEC"/>
    <w:rsid w:val="003D4C4E"/>
    <w:rsid w:val="003D717C"/>
    <w:rsid w:val="003E31E9"/>
    <w:rsid w:val="003E51AD"/>
    <w:rsid w:val="003F42F2"/>
    <w:rsid w:val="003F558F"/>
    <w:rsid w:val="003F785E"/>
    <w:rsid w:val="00440766"/>
    <w:rsid w:val="00491375"/>
    <w:rsid w:val="00493B0C"/>
    <w:rsid w:val="004A0437"/>
    <w:rsid w:val="004A5994"/>
    <w:rsid w:val="004D5B88"/>
    <w:rsid w:val="004F355D"/>
    <w:rsid w:val="004F5F22"/>
    <w:rsid w:val="0051234D"/>
    <w:rsid w:val="00520A5A"/>
    <w:rsid w:val="00525BB1"/>
    <w:rsid w:val="00544C1C"/>
    <w:rsid w:val="00546262"/>
    <w:rsid w:val="0054B3A0"/>
    <w:rsid w:val="005578B3"/>
    <w:rsid w:val="00562B72"/>
    <w:rsid w:val="00593AC5"/>
    <w:rsid w:val="005B1AE5"/>
    <w:rsid w:val="005C7431"/>
    <w:rsid w:val="005D3561"/>
    <w:rsid w:val="005D6B8D"/>
    <w:rsid w:val="005D6C84"/>
    <w:rsid w:val="005E462D"/>
    <w:rsid w:val="005F4814"/>
    <w:rsid w:val="005F6B23"/>
    <w:rsid w:val="005F740C"/>
    <w:rsid w:val="0060181B"/>
    <w:rsid w:val="006511E4"/>
    <w:rsid w:val="0067598D"/>
    <w:rsid w:val="00683A32"/>
    <w:rsid w:val="006953EF"/>
    <w:rsid w:val="0069795F"/>
    <w:rsid w:val="006C09F3"/>
    <w:rsid w:val="006E37EF"/>
    <w:rsid w:val="007141D5"/>
    <w:rsid w:val="00724BE9"/>
    <w:rsid w:val="00730611"/>
    <w:rsid w:val="00732BD1"/>
    <w:rsid w:val="007350D4"/>
    <w:rsid w:val="00741A19"/>
    <w:rsid w:val="00742E58"/>
    <w:rsid w:val="00743C0F"/>
    <w:rsid w:val="0076349D"/>
    <w:rsid w:val="007861C1"/>
    <w:rsid w:val="007A7B4E"/>
    <w:rsid w:val="007B3C8B"/>
    <w:rsid w:val="007B7520"/>
    <w:rsid w:val="007C2C56"/>
    <w:rsid w:val="007D459D"/>
    <w:rsid w:val="007D5541"/>
    <w:rsid w:val="007E0DB0"/>
    <w:rsid w:val="007E7333"/>
    <w:rsid w:val="007E7481"/>
    <w:rsid w:val="007F5B6B"/>
    <w:rsid w:val="008052C7"/>
    <w:rsid w:val="00812DD3"/>
    <w:rsid w:val="008327D4"/>
    <w:rsid w:val="008345A8"/>
    <w:rsid w:val="008420C5"/>
    <w:rsid w:val="008440DC"/>
    <w:rsid w:val="00855A26"/>
    <w:rsid w:val="00861C8D"/>
    <w:rsid w:val="00862523"/>
    <w:rsid w:val="00864EE4"/>
    <w:rsid w:val="008908F4"/>
    <w:rsid w:val="00893BDB"/>
    <w:rsid w:val="008B0259"/>
    <w:rsid w:val="008B040E"/>
    <w:rsid w:val="008C0FD3"/>
    <w:rsid w:val="008C1745"/>
    <w:rsid w:val="008C4723"/>
    <w:rsid w:val="008C600C"/>
    <w:rsid w:val="008F3ABA"/>
    <w:rsid w:val="00915062"/>
    <w:rsid w:val="009267B4"/>
    <w:rsid w:val="00941EE6"/>
    <w:rsid w:val="009427F8"/>
    <w:rsid w:val="00944895"/>
    <w:rsid w:val="009564C9"/>
    <w:rsid w:val="00995AD3"/>
    <w:rsid w:val="009B1E21"/>
    <w:rsid w:val="009C0736"/>
    <w:rsid w:val="009E2801"/>
    <w:rsid w:val="009E5088"/>
    <w:rsid w:val="009E700C"/>
    <w:rsid w:val="00A21AC8"/>
    <w:rsid w:val="00A32381"/>
    <w:rsid w:val="00A33B11"/>
    <w:rsid w:val="00A52C4D"/>
    <w:rsid w:val="00A68F31"/>
    <w:rsid w:val="00A82045"/>
    <w:rsid w:val="00A85A01"/>
    <w:rsid w:val="00A8C737"/>
    <w:rsid w:val="00A92A04"/>
    <w:rsid w:val="00A952F6"/>
    <w:rsid w:val="00AC3558"/>
    <w:rsid w:val="00AD1095"/>
    <w:rsid w:val="00AD5955"/>
    <w:rsid w:val="00AF2955"/>
    <w:rsid w:val="00B02B37"/>
    <w:rsid w:val="00B215B9"/>
    <w:rsid w:val="00B257EC"/>
    <w:rsid w:val="00B26366"/>
    <w:rsid w:val="00B36A54"/>
    <w:rsid w:val="00B36AB1"/>
    <w:rsid w:val="00B414B7"/>
    <w:rsid w:val="00B93E26"/>
    <w:rsid w:val="00BA0095"/>
    <w:rsid w:val="00BB5963"/>
    <w:rsid w:val="00BC2D7A"/>
    <w:rsid w:val="00BC7CE8"/>
    <w:rsid w:val="00BD593C"/>
    <w:rsid w:val="00BF608B"/>
    <w:rsid w:val="00C03FF6"/>
    <w:rsid w:val="00C11E61"/>
    <w:rsid w:val="00C27E25"/>
    <w:rsid w:val="00C56B42"/>
    <w:rsid w:val="00C72E2C"/>
    <w:rsid w:val="00C77655"/>
    <w:rsid w:val="00C8459C"/>
    <w:rsid w:val="00C946AF"/>
    <w:rsid w:val="00CA3B77"/>
    <w:rsid w:val="00CB3B24"/>
    <w:rsid w:val="00CB4CA8"/>
    <w:rsid w:val="00CC1713"/>
    <w:rsid w:val="00D032C9"/>
    <w:rsid w:val="00D039B9"/>
    <w:rsid w:val="00D147DC"/>
    <w:rsid w:val="00D26A57"/>
    <w:rsid w:val="00D61F26"/>
    <w:rsid w:val="00D70E6F"/>
    <w:rsid w:val="00D81FD5"/>
    <w:rsid w:val="00D95BD8"/>
    <w:rsid w:val="00DD6D36"/>
    <w:rsid w:val="00DD723D"/>
    <w:rsid w:val="00DF1900"/>
    <w:rsid w:val="00DF4DC2"/>
    <w:rsid w:val="00E102D9"/>
    <w:rsid w:val="00E12EB2"/>
    <w:rsid w:val="00E14A7A"/>
    <w:rsid w:val="00E21FB6"/>
    <w:rsid w:val="00E23797"/>
    <w:rsid w:val="00E95A54"/>
    <w:rsid w:val="00EA09A5"/>
    <w:rsid w:val="00EA2964"/>
    <w:rsid w:val="00ED4882"/>
    <w:rsid w:val="00ED5656"/>
    <w:rsid w:val="00ED7E1E"/>
    <w:rsid w:val="00EE728F"/>
    <w:rsid w:val="00F0653C"/>
    <w:rsid w:val="00F3700C"/>
    <w:rsid w:val="00F435F3"/>
    <w:rsid w:val="00F45BD6"/>
    <w:rsid w:val="00F51B21"/>
    <w:rsid w:val="00F91D39"/>
    <w:rsid w:val="00F96304"/>
    <w:rsid w:val="00F970E5"/>
    <w:rsid w:val="00FA3E95"/>
    <w:rsid w:val="00FB7F1F"/>
    <w:rsid w:val="00FD5943"/>
    <w:rsid w:val="00FE2DF6"/>
    <w:rsid w:val="015298AE"/>
    <w:rsid w:val="0162356D"/>
    <w:rsid w:val="0185B634"/>
    <w:rsid w:val="0221A21A"/>
    <w:rsid w:val="03FAA852"/>
    <w:rsid w:val="03FD8ECE"/>
    <w:rsid w:val="04B7957A"/>
    <w:rsid w:val="054260FF"/>
    <w:rsid w:val="055C6BC8"/>
    <w:rsid w:val="0560D7F7"/>
    <w:rsid w:val="05969CB4"/>
    <w:rsid w:val="06370FE4"/>
    <w:rsid w:val="0754181F"/>
    <w:rsid w:val="07BB3752"/>
    <w:rsid w:val="08AA9ECC"/>
    <w:rsid w:val="0901B5E4"/>
    <w:rsid w:val="095CD6C4"/>
    <w:rsid w:val="09BD02C8"/>
    <w:rsid w:val="0A0C6C16"/>
    <w:rsid w:val="0A0D5F2F"/>
    <w:rsid w:val="0B5ACA4C"/>
    <w:rsid w:val="0C5E358B"/>
    <w:rsid w:val="0D141E60"/>
    <w:rsid w:val="0D92ACF0"/>
    <w:rsid w:val="0D98AB07"/>
    <w:rsid w:val="0DE76E7B"/>
    <w:rsid w:val="0E198B69"/>
    <w:rsid w:val="0E9217C4"/>
    <w:rsid w:val="0EA1AB3D"/>
    <w:rsid w:val="0EC8A107"/>
    <w:rsid w:val="0F7B798F"/>
    <w:rsid w:val="0F9571B5"/>
    <w:rsid w:val="0FCDA9F0"/>
    <w:rsid w:val="1018D82B"/>
    <w:rsid w:val="103D7F23"/>
    <w:rsid w:val="10C0A4BC"/>
    <w:rsid w:val="10E5131B"/>
    <w:rsid w:val="111819B9"/>
    <w:rsid w:val="11D1D123"/>
    <w:rsid w:val="120AE85D"/>
    <w:rsid w:val="135407D5"/>
    <w:rsid w:val="13AFE4C3"/>
    <w:rsid w:val="13CBA1C5"/>
    <w:rsid w:val="13E1AECE"/>
    <w:rsid w:val="144B67A3"/>
    <w:rsid w:val="14DDBE9E"/>
    <w:rsid w:val="14E4F31A"/>
    <w:rsid w:val="15437D6E"/>
    <w:rsid w:val="155A0E9F"/>
    <w:rsid w:val="15B2271D"/>
    <w:rsid w:val="15EF5760"/>
    <w:rsid w:val="17002D18"/>
    <w:rsid w:val="1716C831"/>
    <w:rsid w:val="17A0839A"/>
    <w:rsid w:val="17F04AC7"/>
    <w:rsid w:val="17F3B626"/>
    <w:rsid w:val="186673E3"/>
    <w:rsid w:val="19D8D143"/>
    <w:rsid w:val="1AAB7D10"/>
    <w:rsid w:val="1AED9230"/>
    <w:rsid w:val="1B11FDE8"/>
    <w:rsid w:val="1B5570A6"/>
    <w:rsid w:val="1B8794B5"/>
    <w:rsid w:val="1BEA3954"/>
    <w:rsid w:val="1CE8E2B7"/>
    <w:rsid w:val="1DC46278"/>
    <w:rsid w:val="1DFE8A47"/>
    <w:rsid w:val="1E3DCA52"/>
    <w:rsid w:val="1E6F4119"/>
    <w:rsid w:val="1EBEE0A1"/>
    <w:rsid w:val="20173A34"/>
    <w:rsid w:val="20DCD738"/>
    <w:rsid w:val="21E61E87"/>
    <w:rsid w:val="21FF1EAB"/>
    <w:rsid w:val="2272A335"/>
    <w:rsid w:val="22B21833"/>
    <w:rsid w:val="2448197A"/>
    <w:rsid w:val="2454A36E"/>
    <w:rsid w:val="24ACBDAC"/>
    <w:rsid w:val="24D8E7AC"/>
    <w:rsid w:val="25AA43F7"/>
    <w:rsid w:val="25C5D42D"/>
    <w:rsid w:val="2600ABC5"/>
    <w:rsid w:val="26587105"/>
    <w:rsid w:val="27447640"/>
    <w:rsid w:val="275E6B56"/>
    <w:rsid w:val="27CF142D"/>
    <w:rsid w:val="28767479"/>
    <w:rsid w:val="28AA6A57"/>
    <w:rsid w:val="28BC0C73"/>
    <w:rsid w:val="28E1E4B9"/>
    <w:rsid w:val="29BB0811"/>
    <w:rsid w:val="2B038BEF"/>
    <w:rsid w:val="2BC25B9E"/>
    <w:rsid w:val="2BE630A8"/>
    <w:rsid w:val="2CB3E223"/>
    <w:rsid w:val="2D4F5744"/>
    <w:rsid w:val="2DD0E612"/>
    <w:rsid w:val="2EF1F46A"/>
    <w:rsid w:val="2F003566"/>
    <w:rsid w:val="2F2DF58E"/>
    <w:rsid w:val="2FEC2776"/>
    <w:rsid w:val="30072CF9"/>
    <w:rsid w:val="31031B9C"/>
    <w:rsid w:val="3104A811"/>
    <w:rsid w:val="31AE68D7"/>
    <w:rsid w:val="323386D7"/>
    <w:rsid w:val="3365F3FE"/>
    <w:rsid w:val="33C20E0C"/>
    <w:rsid w:val="341D3762"/>
    <w:rsid w:val="34935A22"/>
    <w:rsid w:val="358A9910"/>
    <w:rsid w:val="36110B88"/>
    <w:rsid w:val="363CF6A4"/>
    <w:rsid w:val="366A5C61"/>
    <w:rsid w:val="3681D9FA"/>
    <w:rsid w:val="3731E22D"/>
    <w:rsid w:val="3787EB9D"/>
    <w:rsid w:val="37F5FCF1"/>
    <w:rsid w:val="381DAA5B"/>
    <w:rsid w:val="384F173F"/>
    <w:rsid w:val="38DFE5A6"/>
    <w:rsid w:val="38E5820B"/>
    <w:rsid w:val="38E93585"/>
    <w:rsid w:val="38FFC6B6"/>
    <w:rsid w:val="393E385B"/>
    <w:rsid w:val="39D2A319"/>
    <w:rsid w:val="39D43B29"/>
    <w:rsid w:val="39E684CB"/>
    <w:rsid w:val="3B325BAF"/>
    <w:rsid w:val="3B593C94"/>
    <w:rsid w:val="3BBF2914"/>
    <w:rsid w:val="3BDDA627"/>
    <w:rsid w:val="3C6E728A"/>
    <w:rsid w:val="3CF2B38E"/>
    <w:rsid w:val="3D25D411"/>
    <w:rsid w:val="3D327D14"/>
    <w:rsid w:val="3D32C05A"/>
    <w:rsid w:val="3E07BD4F"/>
    <w:rsid w:val="3F560F30"/>
    <w:rsid w:val="4013855A"/>
    <w:rsid w:val="401DB74E"/>
    <w:rsid w:val="4041E49D"/>
    <w:rsid w:val="40E46EA7"/>
    <w:rsid w:val="41248B92"/>
    <w:rsid w:val="41494A40"/>
    <w:rsid w:val="415137C6"/>
    <w:rsid w:val="4204E733"/>
    <w:rsid w:val="42CE6656"/>
    <w:rsid w:val="43075E1D"/>
    <w:rsid w:val="434B261C"/>
    <w:rsid w:val="4377E747"/>
    <w:rsid w:val="4379855F"/>
    <w:rsid w:val="44DA4813"/>
    <w:rsid w:val="46D9C880"/>
    <w:rsid w:val="47B88BC4"/>
    <w:rsid w:val="481E973F"/>
    <w:rsid w:val="4893265A"/>
    <w:rsid w:val="48FB535E"/>
    <w:rsid w:val="49DBEC23"/>
    <w:rsid w:val="4B6474F5"/>
    <w:rsid w:val="4BB2C347"/>
    <w:rsid w:val="4C1BACDF"/>
    <w:rsid w:val="4C1D41D5"/>
    <w:rsid w:val="4DF565BB"/>
    <w:rsid w:val="4E281903"/>
    <w:rsid w:val="4E298436"/>
    <w:rsid w:val="4E6B5EC3"/>
    <w:rsid w:val="4E9C15B7"/>
    <w:rsid w:val="4F009BF6"/>
    <w:rsid w:val="504B4F34"/>
    <w:rsid w:val="50BFA603"/>
    <w:rsid w:val="51242544"/>
    <w:rsid w:val="51CD670B"/>
    <w:rsid w:val="5230FF7F"/>
    <w:rsid w:val="5292BC27"/>
    <w:rsid w:val="53032BF1"/>
    <w:rsid w:val="53A27216"/>
    <w:rsid w:val="53F4E35A"/>
    <w:rsid w:val="5454F363"/>
    <w:rsid w:val="551A3EB3"/>
    <w:rsid w:val="5678FB2A"/>
    <w:rsid w:val="56A0D82E"/>
    <w:rsid w:val="59D4FDF1"/>
    <w:rsid w:val="5A302747"/>
    <w:rsid w:val="5A8CAF08"/>
    <w:rsid w:val="5BE8D86C"/>
    <w:rsid w:val="5DA3FFC9"/>
    <w:rsid w:val="5E694C30"/>
    <w:rsid w:val="5E85092E"/>
    <w:rsid w:val="5E878A8C"/>
    <w:rsid w:val="5EFA4D60"/>
    <w:rsid w:val="5F61D954"/>
    <w:rsid w:val="5FBF3D68"/>
    <w:rsid w:val="5FC67DA6"/>
    <w:rsid w:val="5FCA5BE7"/>
    <w:rsid w:val="60465C63"/>
    <w:rsid w:val="605A069A"/>
    <w:rsid w:val="60EF3E62"/>
    <w:rsid w:val="613A9205"/>
    <w:rsid w:val="61531C26"/>
    <w:rsid w:val="6170E740"/>
    <w:rsid w:val="61EB2FD2"/>
    <w:rsid w:val="63699BE9"/>
    <w:rsid w:val="636B5DF1"/>
    <w:rsid w:val="63836484"/>
    <w:rsid w:val="63BF31BE"/>
    <w:rsid w:val="64BA7676"/>
    <w:rsid w:val="64D29264"/>
    <w:rsid w:val="66837DA5"/>
    <w:rsid w:val="68317EFF"/>
    <w:rsid w:val="683FB819"/>
    <w:rsid w:val="6AA6AC1A"/>
    <w:rsid w:val="6ACF86BE"/>
    <w:rsid w:val="6B1AE4A0"/>
    <w:rsid w:val="6B3C6E07"/>
    <w:rsid w:val="6B4F0142"/>
    <w:rsid w:val="6C19E0CE"/>
    <w:rsid w:val="6C5E1713"/>
    <w:rsid w:val="6C7A3E97"/>
    <w:rsid w:val="6C91C8DC"/>
    <w:rsid w:val="6CB9E878"/>
    <w:rsid w:val="6CD996CC"/>
    <w:rsid w:val="6D48DF91"/>
    <w:rsid w:val="6D5CE1B7"/>
    <w:rsid w:val="6EDF3A17"/>
    <w:rsid w:val="6FB1DF59"/>
    <w:rsid w:val="6FE07072"/>
    <w:rsid w:val="702815BA"/>
    <w:rsid w:val="71438D9F"/>
    <w:rsid w:val="71474244"/>
    <w:rsid w:val="72016687"/>
    <w:rsid w:val="72B8930E"/>
    <w:rsid w:val="73A79CFE"/>
    <w:rsid w:val="73ED298C"/>
    <w:rsid w:val="74A0E0B2"/>
    <w:rsid w:val="74EAA225"/>
    <w:rsid w:val="7579136F"/>
    <w:rsid w:val="7597EA8D"/>
    <w:rsid w:val="75A752A5"/>
    <w:rsid w:val="75E50912"/>
    <w:rsid w:val="767E14B6"/>
    <w:rsid w:val="76DEC53B"/>
    <w:rsid w:val="76FF492A"/>
    <w:rsid w:val="7714E3D0"/>
    <w:rsid w:val="789AFD56"/>
    <w:rsid w:val="78ABB133"/>
    <w:rsid w:val="79AA0C20"/>
    <w:rsid w:val="79B819D4"/>
    <w:rsid w:val="79EEC067"/>
    <w:rsid w:val="7A2046D8"/>
    <w:rsid w:val="7A640E45"/>
    <w:rsid w:val="7AB4BEF6"/>
    <w:rsid w:val="7AFB335B"/>
    <w:rsid w:val="7B5ADE14"/>
    <w:rsid w:val="7CA44ADA"/>
    <w:rsid w:val="7E1AAD51"/>
    <w:rsid w:val="7EC3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A2EB"/>
  <w15:chartTrackingRefBased/>
  <w15:docId w15:val="{210555D4-70FE-4341-9E73-5042E047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0C2F66"/>
    <w:pPr>
      <w:outlineLvl w:val="0"/>
    </w:pPr>
    <w:rPr>
      <w:b w:val="0"/>
      <w:bCs w:val="0"/>
      <w:sz w:val="36"/>
      <w:szCs w:val="36"/>
    </w:rPr>
  </w:style>
  <w:style w:type="paragraph" w:styleId="Heading2">
    <w:name w:val="heading 2"/>
    <w:basedOn w:val="Normal"/>
    <w:next w:val="Normal"/>
    <w:link w:val="Heading2Char"/>
    <w:uiPriority w:val="9"/>
    <w:unhideWhenUsed/>
    <w:qFormat/>
    <w:rsid w:val="000C2F66"/>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0C2F66"/>
    <w:pPr>
      <w:keepNext/>
      <w:keepLines/>
      <w:spacing w:before="40" w:after="0"/>
      <w:outlineLvl w:val="2"/>
    </w:pPr>
    <w:rPr>
      <w:rFonts w:asciiTheme="majorHAnsi" w:eastAsiaTheme="majorEastAsia" w:hAnsiTheme="majorHAnsi" w:cstheme="majorBidi"/>
      <w:b/>
      <w:bCs/>
      <w:color w:val="000000" w:themeColor="tex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435F3"/>
  </w:style>
  <w:style w:type="character" w:customStyle="1" w:styleId="eop">
    <w:name w:val="eop"/>
    <w:basedOn w:val="DefaultParagraphFont"/>
    <w:rsid w:val="00F435F3"/>
  </w:style>
  <w:style w:type="paragraph" w:customStyle="1" w:styleId="paragraph">
    <w:name w:val="paragraph"/>
    <w:basedOn w:val="Normal"/>
    <w:rsid w:val="00F43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F435F3"/>
  </w:style>
  <w:style w:type="character" w:customStyle="1" w:styleId="spellingerror">
    <w:name w:val="spellingerror"/>
    <w:basedOn w:val="DefaultParagraphFont"/>
    <w:rsid w:val="00F435F3"/>
  </w:style>
  <w:style w:type="paragraph" w:styleId="ListParagraph">
    <w:name w:val="List Paragraph"/>
    <w:basedOn w:val="paragraph"/>
    <w:uiPriority w:val="34"/>
    <w:qFormat/>
    <w:rsid w:val="000C2F66"/>
    <w:pPr>
      <w:numPr>
        <w:numId w:val="4"/>
      </w:numPr>
      <w:spacing w:before="0" w:beforeAutospacing="0" w:after="0" w:afterAutospacing="0"/>
      <w:textAlignment w:val="baseline"/>
    </w:pPr>
    <w:rPr>
      <w:rFonts w:ascii="Calibri" w:eastAsia="Malgun Gothic" w:hAnsi="Calibri" w:cs="Calibri"/>
      <w:color w:val="000000"/>
      <w:position w:val="2"/>
    </w:rPr>
  </w:style>
  <w:style w:type="table" w:styleId="GridTable5Dark-Accent5">
    <w:name w:val="Grid Table 5 Dark Accent 5"/>
    <w:basedOn w:val="TableNormal"/>
    <w:uiPriority w:val="50"/>
    <w:rsid w:val="001568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37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8B3"/>
    <w:rPr>
      <w:sz w:val="16"/>
      <w:szCs w:val="16"/>
    </w:rPr>
  </w:style>
  <w:style w:type="paragraph" w:styleId="CommentText">
    <w:name w:val="annotation text"/>
    <w:basedOn w:val="Normal"/>
    <w:link w:val="CommentTextChar"/>
    <w:uiPriority w:val="99"/>
    <w:semiHidden/>
    <w:unhideWhenUsed/>
    <w:rsid w:val="005578B3"/>
    <w:pPr>
      <w:spacing w:line="240" w:lineRule="auto"/>
    </w:pPr>
    <w:rPr>
      <w:sz w:val="20"/>
      <w:szCs w:val="20"/>
    </w:rPr>
  </w:style>
  <w:style w:type="character" w:customStyle="1" w:styleId="CommentTextChar">
    <w:name w:val="Comment Text Char"/>
    <w:basedOn w:val="DefaultParagraphFont"/>
    <w:link w:val="CommentText"/>
    <w:uiPriority w:val="99"/>
    <w:semiHidden/>
    <w:rsid w:val="005578B3"/>
    <w:rPr>
      <w:sz w:val="20"/>
      <w:szCs w:val="20"/>
    </w:rPr>
  </w:style>
  <w:style w:type="paragraph" w:styleId="CommentSubject">
    <w:name w:val="annotation subject"/>
    <w:basedOn w:val="CommentText"/>
    <w:next w:val="CommentText"/>
    <w:link w:val="CommentSubjectChar"/>
    <w:uiPriority w:val="99"/>
    <w:semiHidden/>
    <w:unhideWhenUsed/>
    <w:rsid w:val="005578B3"/>
    <w:rPr>
      <w:b/>
      <w:bCs/>
    </w:rPr>
  </w:style>
  <w:style w:type="character" w:customStyle="1" w:styleId="CommentSubjectChar">
    <w:name w:val="Comment Subject Char"/>
    <w:basedOn w:val="CommentTextChar"/>
    <w:link w:val="CommentSubject"/>
    <w:uiPriority w:val="99"/>
    <w:semiHidden/>
    <w:rsid w:val="005578B3"/>
    <w:rPr>
      <w:b/>
      <w:bCs/>
      <w:sz w:val="20"/>
      <w:szCs w:val="20"/>
    </w:rPr>
  </w:style>
  <w:style w:type="paragraph" w:styleId="Header">
    <w:name w:val="header"/>
    <w:basedOn w:val="Normal"/>
    <w:link w:val="HeaderChar"/>
    <w:uiPriority w:val="99"/>
    <w:unhideWhenUsed/>
    <w:rsid w:val="0032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713"/>
  </w:style>
  <w:style w:type="paragraph" w:styleId="Footer">
    <w:name w:val="footer"/>
    <w:basedOn w:val="Normal"/>
    <w:link w:val="FooterChar"/>
    <w:uiPriority w:val="99"/>
    <w:unhideWhenUsed/>
    <w:rsid w:val="00324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713"/>
  </w:style>
  <w:style w:type="paragraph" w:styleId="Title">
    <w:name w:val="Title"/>
    <w:basedOn w:val="Normal"/>
    <w:next w:val="Normal"/>
    <w:link w:val="TitleChar"/>
    <w:uiPriority w:val="10"/>
    <w:qFormat/>
    <w:rsid w:val="0091506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915062"/>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0C2F66"/>
    <w:rPr>
      <w:rFonts w:asciiTheme="majorHAnsi" w:eastAsiaTheme="majorEastAsia" w:hAnsiTheme="majorHAnsi" w:cstheme="majorBidi"/>
      <w:b/>
      <w:bCs/>
      <w:color w:val="000000" w:themeColor="text1"/>
      <w:sz w:val="36"/>
      <w:szCs w:val="36"/>
    </w:rPr>
  </w:style>
  <w:style w:type="character" w:customStyle="1" w:styleId="Heading2Char">
    <w:name w:val="Heading 2 Char"/>
    <w:basedOn w:val="DefaultParagraphFont"/>
    <w:link w:val="Heading2"/>
    <w:uiPriority w:val="9"/>
    <w:rsid w:val="000C2F66"/>
    <w:rPr>
      <w:rFonts w:asciiTheme="majorHAnsi" w:eastAsiaTheme="majorEastAsia" w:hAnsiTheme="majorHAnsi" w:cstheme="majorBidi"/>
      <w:b/>
      <w:bCs/>
      <w:color w:val="000000" w:themeColor="text1"/>
      <w:sz w:val="28"/>
      <w:szCs w:val="26"/>
    </w:rPr>
  </w:style>
  <w:style w:type="paragraph" w:styleId="Caption">
    <w:name w:val="caption"/>
    <w:basedOn w:val="Normal"/>
    <w:next w:val="Normal"/>
    <w:uiPriority w:val="35"/>
    <w:unhideWhenUsed/>
    <w:qFormat/>
    <w:rsid w:val="00B414B7"/>
    <w:pPr>
      <w:spacing w:after="200" w:line="240" w:lineRule="auto"/>
      <w:jc w:val="center"/>
    </w:pPr>
    <w:rPr>
      <w:i/>
      <w:iCs/>
      <w:color w:val="44546A" w:themeColor="text2"/>
      <w:sz w:val="28"/>
      <w:szCs w:val="18"/>
    </w:rPr>
  </w:style>
  <w:style w:type="character" w:customStyle="1" w:styleId="Heading3Char">
    <w:name w:val="Heading 3 Char"/>
    <w:basedOn w:val="DefaultParagraphFont"/>
    <w:link w:val="Heading3"/>
    <w:uiPriority w:val="9"/>
    <w:rsid w:val="000C2F66"/>
    <w:rPr>
      <w:rFonts w:asciiTheme="majorHAnsi" w:eastAsiaTheme="majorEastAsia" w:hAnsiTheme="majorHAnsi" w:cstheme="majorBidi"/>
      <w:b/>
      <w:bCs/>
      <w:color w:val="000000" w:themeColor="text1"/>
      <w:sz w:val="24"/>
      <w:szCs w:val="24"/>
    </w:rPr>
  </w:style>
  <w:style w:type="character" w:styleId="PageNumber">
    <w:name w:val="page number"/>
    <w:basedOn w:val="DefaultParagraphFont"/>
    <w:uiPriority w:val="99"/>
    <w:semiHidden/>
    <w:unhideWhenUsed/>
    <w:rsid w:val="009E700C"/>
  </w:style>
  <w:style w:type="paragraph" w:styleId="Subtitle">
    <w:name w:val="Subtitle"/>
    <w:aliases w:val="Title for Table"/>
    <w:basedOn w:val="Normal"/>
    <w:next w:val="Normal"/>
    <w:link w:val="SubtitleChar"/>
    <w:uiPriority w:val="11"/>
    <w:qFormat/>
    <w:rsid w:val="00B414B7"/>
    <w:pPr>
      <w:numPr>
        <w:ilvl w:val="1"/>
      </w:numPr>
      <w:jc w:val="center"/>
    </w:pPr>
    <w:rPr>
      <w:rFonts w:eastAsiaTheme="minorEastAsia"/>
      <w:b/>
      <w:color w:val="5A5A5A" w:themeColor="text1" w:themeTint="A5"/>
      <w:spacing w:val="15"/>
      <w:sz w:val="28"/>
    </w:rPr>
  </w:style>
  <w:style w:type="character" w:customStyle="1" w:styleId="SubtitleChar">
    <w:name w:val="Subtitle Char"/>
    <w:aliases w:val="Title for Table Char"/>
    <w:basedOn w:val="DefaultParagraphFont"/>
    <w:link w:val="Subtitle"/>
    <w:uiPriority w:val="11"/>
    <w:rsid w:val="00B414B7"/>
    <w:rPr>
      <w:rFonts w:eastAsiaTheme="minorEastAsia"/>
      <w:b/>
      <w:color w:val="5A5A5A" w:themeColor="text1" w:themeTint="A5"/>
      <w:spacing w:val="15"/>
      <w:sz w:val="28"/>
    </w:rPr>
  </w:style>
  <w:style w:type="character" w:styleId="Hyperlink">
    <w:name w:val="Hyperlink"/>
    <w:basedOn w:val="DefaultParagraphFont"/>
    <w:uiPriority w:val="99"/>
    <w:unhideWhenUsed/>
    <w:rsid w:val="00D039B9"/>
    <w:rPr>
      <w:color w:val="0563C1" w:themeColor="hyperlink"/>
      <w:u w:val="single"/>
    </w:rPr>
  </w:style>
  <w:style w:type="character" w:styleId="UnresolvedMention">
    <w:name w:val="Unresolved Mention"/>
    <w:basedOn w:val="DefaultParagraphFont"/>
    <w:uiPriority w:val="99"/>
    <w:semiHidden/>
    <w:unhideWhenUsed/>
    <w:rsid w:val="00D039B9"/>
    <w:rPr>
      <w:color w:val="605E5C"/>
      <w:shd w:val="clear" w:color="auto" w:fill="E1DFDD"/>
    </w:rPr>
  </w:style>
  <w:style w:type="paragraph" w:customStyle="1" w:styleId="Worksheetsubtitle">
    <w:name w:val="Worksheet subtitle"/>
    <w:basedOn w:val="Subtitle"/>
    <w:link w:val="WorksheetsubtitleChar"/>
    <w:qFormat/>
    <w:rsid w:val="00FD5943"/>
    <w:pPr>
      <w:spacing w:before="240" w:line="360" w:lineRule="auto"/>
    </w:pPr>
    <w:rPr>
      <w:b w:val="0"/>
      <w:bCs/>
      <w:sz w:val="36"/>
      <w:szCs w:val="36"/>
    </w:rPr>
  </w:style>
  <w:style w:type="character" w:customStyle="1" w:styleId="WorksheetsubtitleChar">
    <w:name w:val="Worksheet subtitle Char"/>
    <w:basedOn w:val="SubtitleChar"/>
    <w:link w:val="Worksheetsubtitle"/>
    <w:rsid w:val="00FD5943"/>
    <w:rPr>
      <w:rFonts w:eastAsiaTheme="minorEastAsia"/>
      <w:b w:val="0"/>
      <w:bCs/>
      <w:color w:val="5A5A5A" w:themeColor="text1" w:themeTint="A5"/>
      <w:spacing w:val="15"/>
      <w:sz w:val="36"/>
      <w:szCs w:val="36"/>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2E16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5895">
      <w:bodyDiv w:val="1"/>
      <w:marLeft w:val="0"/>
      <w:marRight w:val="0"/>
      <w:marTop w:val="0"/>
      <w:marBottom w:val="0"/>
      <w:divBdr>
        <w:top w:val="none" w:sz="0" w:space="0" w:color="auto"/>
        <w:left w:val="none" w:sz="0" w:space="0" w:color="auto"/>
        <w:bottom w:val="none" w:sz="0" w:space="0" w:color="auto"/>
        <w:right w:val="none" w:sz="0" w:space="0" w:color="auto"/>
      </w:divBdr>
      <w:divsChild>
        <w:div w:id="420564772">
          <w:marLeft w:val="0"/>
          <w:marRight w:val="0"/>
          <w:marTop w:val="0"/>
          <w:marBottom w:val="0"/>
          <w:divBdr>
            <w:top w:val="none" w:sz="0" w:space="0" w:color="auto"/>
            <w:left w:val="none" w:sz="0" w:space="0" w:color="auto"/>
            <w:bottom w:val="none" w:sz="0" w:space="0" w:color="auto"/>
            <w:right w:val="none" w:sz="0" w:space="0" w:color="auto"/>
          </w:divBdr>
        </w:div>
        <w:div w:id="867524906">
          <w:marLeft w:val="0"/>
          <w:marRight w:val="0"/>
          <w:marTop w:val="0"/>
          <w:marBottom w:val="0"/>
          <w:divBdr>
            <w:top w:val="none" w:sz="0" w:space="0" w:color="auto"/>
            <w:left w:val="none" w:sz="0" w:space="0" w:color="auto"/>
            <w:bottom w:val="none" w:sz="0" w:space="0" w:color="auto"/>
            <w:right w:val="none" w:sz="0" w:space="0" w:color="auto"/>
          </w:divBdr>
        </w:div>
      </w:divsChild>
    </w:div>
    <w:div w:id="815681587">
      <w:bodyDiv w:val="1"/>
      <w:marLeft w:val="0"/>
      <w:marRight w:val="0"/>
      <w:marTop w:val="0"/>
      <w:marBottom w:val="0"/>
      <w:divBdr>
        <w:top w:val="none" w:sz="0" w:space="0" w:color="auto"/>
        <w:left w:val="none" w:sz="0" w:space="0" w:color="auto"/>
        <w:bottom w:val="none" w:sz="0" w:space="0" w:color="auto"/>
        <w:right w:val="none" w:sz="0" w:space="0" w:color="auto"/>
      </w:divBdr>
      <w:divsChild>
        <w:div w:id="943616743">
          <w:marLeft w:val="0"/>
          <w:marRight w:val="0"/>
          <w:marTop w:val="0"/>
          <w:marBottom w:val="0"/>
          <w:divBdr>
            <w:top w:val="none" w:sz="0" w:space="0" w:color="auto"/>
            <w:left w:val="none" w:sz="0" w:space="0" w:color="auto"/>
            <w:bottom w:val="none" w:sz="0" w:space="0" w:color="auto"/>
            <w:right w:val="none" w:sz="0" w:space="0" w:color="auto"/>
          </w:divBdr>
        </w:div>
        <w:div w:id="1115976026">
          <w:marLeft w:val="0"/>
          <w:marRight w:val="0"/>
          <w:marTop w:val="0"/>
          <w:marBottom w:val="0"/>
          <w:divBdr>
            <w:top w:val="none" w:sz="0" w:space="0" w:color="auto"/>
            <w:left w:val="none" w:sz="0" w:space="0" w:color="auto"/>
            <w:bottom w:val="none" w:sz="0" w:space="0" w:color="auto"/>
            <w:right w:val="none" w:sz="0" w:space="0" w:color="auto"/>
          </w:divBdr>
        </w:div>
      </w:divsChild>
    </w:div>
    <w:div w:id="1192844263">
      <w:bodyDiv w:val="1"/>
      <w:marLeft w:val="0"/>
      <w:marRight w:val="0"/>
      <w:marTop w:val="0"/>
      <w:marBottom w:val="0"/>
      <w:divBdr>
        <w:top w:val="none" w:sz="0" w:space="0" w:color="auto"/>
        <w:left w:val="none" w:sz="0" w:space="0" w:color="auto"/>
        <w:bottom w:val="none" w:sz="0" w:space="0" w:color="auto"/>
        <w:right w:val="none" w:sz="0" w:space="0" w:color="auto"/>
      </w:divBdr>
    </w:div>
    <w:div w:id="1271936163">
      <w:bodyDiv w:val="1"/>
      <w:marLeft w:val="0"/>
      <w:marRight w:val="0"/>
      <w:marTop w:val="0"/>
      <w:marBottom w:val="0"/>
      <w:divBdr>
        <w:top w:val="none" w:sz="0" w:space="0" w:color="auto"/>
        <w:left w:val="none" w:sz="0" w:space="0" w:color="auto"/>
        <w:bottom w:val="none" w:sz="0" w:space="0" w:color="auto"/>
        <w:right w:val="none" w:sz="0" w:space="0" w:color="auto"/>
      </w:divBdr>
      <w:divsChild>
        <w:div w:id="350228796">
          <w:marLeft w:val="0"/>
          <w:marRight w:val="0"/>
          <w:marTop w:val="0"/>
          <w:marBottom w:val="0"/>
          <w:divBdr>
            <w:top w:val="none" w:sz="0" w:space="0" w:color="auto"/>
            <w:left w:val="none" w:sz="0" w:space="0" w:color="auto"/>
            <w:bottom w:val="none" w:sz="0" w:space="0" w:color="auto"/>
            <w:right w:val="none" w:sz="0" w:space="0" w:color="auto"/>
          </w:divBdr>
        </w:div>
        <w:div w:id="995105587">
          <w:marLeft w:val="0"/>
          <w:marRight w:val="0"/>
          <w:marTop w:val="0"/>
          <w:marBottom w:val="0"/>
          <w:divBdr>
            <w:top w:val="none" w:sz="0" w:space="0" w:color="auto"/>
            <w:left w:val="none" w:sz="0" w:space="0" w:color="auto"/>
            <w:bottom w:val="none" w:sz="0" w:space="0" w:color="auto"/>
            <w:right w:val="none" w:sz="0" w:space="0" w:color="auto"/>
          </w:divBdr>
        </w:div>
        <w:div w:id="1156191636">
          <w:marLeft w:val="0"/>
          <w:marRight w:val="0"/>
          <w:marTop w:val="0"/>
          <w:marBottom w:val="0"/>
          <w:divBdr>
            <w:top w:val="none" w:sz="0" w:space="0" w:color="auto"/>
            <w:left w:val="none" w:sz="0" w:space="0" w:color="auto"/>
            <w:bottom w:val="none" w:sz="0" w:space="0" w:color="auto"/>
            <w:right w:val="none" w:sz="0" w:space="0" w:color="auto"/>
          </w:divBdr>
        </w:div>
        <w:div w:id="2137720447">
          <w:marLeft w:val="0"/>
          <w:marRight w:val="0"/>
          <w:marTop w:val="0"/>
          <w:marBottom w:val="0"/>
          <w:divBdr>
            <w:top w:val="none" w:sz="0" w:space="0" w:color="auto"/>
            <w:left w:val="none" w:sz="0" w:space="0" w:color="auto"/>
            <w:bottom w:val="none" w:sz="0" w:space="0" w:color="auto"/>
            <w:right w:val="none" w:sz="0" w:space="0" w:color="auto"/>
          </w:divBdr>
        </w:div>
      </w:divsChild>
    </w:div>
    <w:div w:id="1507672570">
      <w:bodyDiv w:val="1"/>
      <w:marLeft w:val="0"/>
      <w:marRight w:val="0"/>
      <w:marTop w:val="0"/>
      <w:marBottom w:val="0"/>
      <w:divBdr>
        <w:top w:val="none" w:sz="0" w:space="0" w:color="auto"/>
        <w:left w:val="none" w:sz="0" w:space="0" w:color="auto"/>
        <w:bottom w:val="none" w:sz="0" w:space="0" w:color="auto"/>
        <w:right w:val="none" w:sz="0" w:space="0" w:color="auto"/>
      </w:divBdr>
      <w:divsChild>
        <w:div w:id="273439169">
          <w:marLeft w:val="0"/>
          <w:marRight w:val="0"/>
          <w:marTop w:val="0"/>
          <w:marBottom w:val="0"/>
          <w:divBdr>
            <w:top w:val="none" w:sz="0" w:space="0" w:color="auto"/>
            <w:left w:val="none" w:sz="0" w:space="0" w:color="auto"/>
            <w:bottom w:val="none" w:sz="0" w:space="0" w:color="auto"/>
            <w:right w:val="none" w:sz="0" w:space="0" w:color="auto"/>
          </w:divBdr>
        </w:div>
        <w:div w:id="324935518">
          <w:marLeft w:val="0"/>
          <w:marRight w:val="0"/>
          <w:marTop w:val="0"/>
          <w:marBottom w:val="0"/>
          <w:divBdr>
            <w:top w:val="none" w:sz="0" w:space="0" w:color="auto"/>
            <w:left w:val="none" w:sz="0" w:space="0" w:color="auto"/>
            <w:bottom w:val="none" w:sz="0" w:space="0" w:color="auto"/>
            <w:right w:val="none" w:sz="0" w:space="0" w:color="auto"/>
          </w:divBdr>
        </w:div>
        <w:div w:id="1009870732">
          <w:marLeft w:val="0"/>
          <w:marRight w:val="0"/>
          <w:marTop w:val="0"/>
          <w:marBottom w:val="0"/>
          <w:divBdr>
            <w:top w:val="none" w:sz="0" w:space="0" w:color="auto"/>
            <w:left w:val="none" w:sz="0" w:space="0" w:color="auto"/>
            <w:bottom w:val="none" w:sz="0" w:space="0" w:color="auto"/>
            <w:right w:val="none" w:sz="0" w:space="0" w:color="auto"/>
          </w:divBdr>
        </w:div>
        <w:div w:id="1324579918">
          <w:marLeft w:val="0"/>
          <w:marRight w:val="0"/>
          <w:marTop w:val="0"/>
          <w:marBottom w:val="0"/>
          <w:divBdr>
            <w:top w:val="none" w:sz="0" w:space="0" w:color="auto"/>
            <w:left w:val="none" w:sz="0" w:space="0" w:color="auto"/>
            <w:bottom w:val="none" w:sz="0" w:space="0" w:color="auto"/>
            <w:right w:val="none" w:sz="0" w:space="0" w:color="auto"/>
          </w:divBdr>
        </w:div>
        <w:div w:id="1386182098">
          <w:marLeft w:val="0"/>
          <w:marRight w:val="0"/>
          <w:marTop w:val="0"/>
          <w:marBottom w:val="0"/>
          <w:divBdr>
            <w:top w:val="none" w:sz="0" w:space="0" w:color="auto"/>
            <w:left w:val="none" w:sz="0" w:space="0" w:color="auto"/>
            <w:bottom w:val="none" w:sz="0" w:space="0" w:color="auto"/>
            <w:right w:val="none" w:sz="0" w:space="0" w:color="auto"/>
          </w:divBdr>
        </w:div>
        <w:div w:id="1846019144">
          <w:marLeft w:val="0"/>
          <w:marRight w:val="0"/>
          <w:marTop w:val="0"/>
          <w:marBottom w:val="0"/>
          <w:divBdr>
            <w:top w:val="none" w:sz="0" w:space="0" w:color="auto"/>
            <w:left w:val="none" w:sz="0" w:space="0" w:color="auto"/>
            <w:bottom w:val="none" w:sz="0" w:space="0" w:color="auto"/>
            <w:right w:val="none" w:sz="0" w:space="0" w:color="auto"/>
          </w:divBdr>
        </w:div>
        <w:div w:id="2008510420">
          <w:marLeft w:val="0"/>
          <w:marRight w:val="0"/>
          <w:marTop w:val="0"/>
          <w:marBottom w:val="0"/>
          <w:divBdr>
            <w:top w:val="none" w:sz="0" w:space="0" w:color="auto"/>
            <w:left w:val="none" w:sz="0" w:space="0" w:color="auto"/>
            <w:bottom w:val="none" w:sz="0" w:space="0" w:color="auto"/>
            <w:right w:val="none" w:sz="0" w:space="0" w:color="auto"/>
          </w:divBdr>
        </w:div>
        <w:div w:id="2070768147">
          <w:marLeft w:val="0"/>
          <w:marRight w:val="0"/>
          <w:marTop w:val="0"/>
          <w:marBottom w:val="0"/>
          <w:divBdr>
            <w:top w:val="none" w:sz="0" w:space="0" w:color="auto"/>
            <w:left w:val="none" w:sz="0" w:space="0" w:color="auto"/>
            <w:bottom w:val="none" w:sz="0" w:space="0" w:color="auto"/>
            <w:right w:val="none" w:sz="0" w:space="0" w:color="auto"/>
          </w:divBdr>
        </w:div>
      </w:divsChild>
    </w:div>
    <w:div w:id="1541820534">
      <w:bodyDiv w:val="1"/>
      <w:marLeft w:val="0"/>
      <w:marRight w:val="0"/>
      <w:marTop w:val="0"/>
      <w:marBottom w:val="0"/>
      <w:divBdr>
        <w:top w:val="none" w:sz="0" w:space="0" w:color="auto"/>
        <w:left w:val="none" w:sz="0" w:space="0" w:color="auto"/>
        <w:bottom w:val="none" w:sz="0" w:space="0" w:color="auto"/>
        <w:right w:val="none" w:sz="0" w:space="0" w:color="auto"/>
      </w:divBdr>
      <w:divsChild>
        <w:div w:id="362440556">
          <w:marLeft w:val="0"/>
          <w:marRight w:val="0"/>
          <w:marTop w:val="0"/>
          <w:marBottom w:val="0"/>
          <w:divBdr>
            <w:top w:val="none" w:sz="0" w:space="0" w:color="auto"/>
            <w:left w:val="none" w:sz="0" w:space="0" w:color="auto"/>
            <w:bottom w:val="none" w:sz="0" w:space="0" w:color="auto"/>
            <w:right w:val="none" w:sz="0" w:space="0" w:color="auto"/>
          </w:divBdr>
        </w:div>
        <w:div w:id="541596870">
          <w:marLeft w:val="0"/>
          <w:marRight w:val="0"/>
          <w:marTop w:val="0"/>
          <w:marBottom w:val="0"/>
          <w:divBdr>
            <w:top w:val="none" w:sz="0" w:space="0" w:color="auto"/>
            <w:left w:val="none" w:sz="0" w:space="0" w:color="auto"/>
            <w:bottom w:val="none" w:sz="0" w:space="0" w:color="auto"/>
            <w:right w:val="none" w:sz="0" w:space="0" w:color="auto"/>
          </w:divBdr>
        </w:div>
        <w:div w:id="582450953">
          <w:marLeft w:val="0"/>
          <w:marRight w:val="0"/>
          <w:marTop w:val="0"/>
          <w:marBottom w:val="0"/>
          <w:divBdr>
            <w:top w:val="none" w:sz="0" w:space="0" w:color="auto"/>
            <w:left w:val="none" w:sz="0" w:space="0" w:color="auto"/>
            <w:bottom w:val="none" w:sz="0" w:space="0" w:color="auto"/>
            <w:right w:val="none" w:sz="0" w:space="0" w:color="auto"/>
          </w:divBdr>
        </w:div>
        <w:div w:id="901909792">
          <w:marLeft w:val="0"/>
          <w:marRight w:val="0"/>
          <w:marTop w:val="0"/>
          <w:marBottom w:val="0"/>
          <w:divBdr>
            <w:top w:val="none" w:sz="0" w:space="0" w:color="auto"/>
            <w:left w:val="none" w:sz="0" w:space="0" w:color="auto"/>
            <w:bottom w:val="none" w:sz="0" w:space="0" w:color="auto"/>
            <w:right w:val="none" w:sz="0" w:space="0" w:color="auto"/>
          </w:divBdr>
        </w:div>
        <w:div w:id="97730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png"/><Relationship Id="rId18" Type="http://schemas.openxmlformats.org/officeDocument/2006/relationships/image" Target="media/image6.svg"/><Relationship Id="rId26" Type="http://schemas.openxmlformats.org/officeDocument/2006/relationships/hyperlink" Target="https://doi.org/10.1007/s11069-015-1993-2" TargetMode="Externa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5.png"/><Relationship Id="rId25" Type="http://schemas.openxmlformats.org/officeDocument/2006/relationships/hyperlink" Target="https://fema.maps.arcgis.com/apps/webappviewer/index.html?id=90c0c996a5e242a79345cdbc5f758fc6"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ema.gov/sites/default/files/documents/fema_2022-community-resilience-indicator-analysis.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microsoft.com/office/2007/relationships/diagramDrawing" Target="diagrams/drawing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svg"/><Relationship Id="rId22" Type="http://schemas.openxmlformats.org/officeDocument/2006/relationships/diagramColors" Target="diagrams/colors1.xml"/><Relationship Id="rId27" Type="http://schemas.openxmlformats.org/officeDocument/2006/relationships/hyperlink" Target="https://papers.ssrn.com/sol3/papers.cfm?abstract_id=4232780"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epa.gov/emergency-response-research/equitable-resilience-buil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EC0A35-0238-4244-902F-21BF18879F55}" type="doc">
      <dgm:prSet loTypeId="urn:microsoft.com/office/officeart/2005/8/layout/lProcess2" loCatId="relationship" qsTypeId="urn:microsoft.com/office/officeart/2005/8/quickstyle/simple1" qsCatId="simple" csTypeId="urn:microsoft.com/office/officeart/2005/8/colors/colorful5" csCatId="colorful" phldr="1"/>
      <dgm:spPr/>
    </dgm:pt>
    <dgm:pt modelId="{54429C7F-3031-4189-9639-1398355D99A1}">
      <dgm:prSet phldrT="[Text]" custT="1"/>
      <dgm:spPr/>
      <dgm:t>
        <a:bodyPr/>
        <a:lstStyle/>
        <a:p>
          <a:r>
            <a:rPr lang="en-US" sz="1600"/>
            <a:t>Gather data on hazards, equity, and resilience </a:t>
          </a:r>
        </a:p>
      </dgm:t>
    </dgm:pt>
    <dgm:pt modelId="{41172226-D588-44A3-ABF6-B2906C66B0F4}" type="parTrans" cxnId="{714984A6-9B73-4152-855E-4F6111FDE47D}">
      <dgm:prSet/>
      <dgm:spPr/>
      <dgm:t>
        <a:bodyPr/>
        <a:lstStyle/>
        <a:p>
          <a:endParaRPr lang="en-US" sz="1200"/>
        </a:p>
      </dgm:t>
    </dgm:pt>
    <dgm:pt modelId="{3069D197-ADB7-418E-A49F-95B95505AAE5}" type="sibTrans" cxnId="{714984A6-9B73-4152-855E-4F6111FDE47D}">
      <dgm:prSet/>
      <dgm:spPr/>
      <dgm:t>
        <a:bodyPr/>
        <a:lstStyle/>
        <a:p>
          <a:endParaRPr lang="en-US" sz="1200"/>
        </a:p>
      </dgm:t>
    </dgm:pt>
    <dgm:pt modelId="{03C7C1DA-CEF9-4A56-BC19-A82BAB9790E7}">
      <dgm:prSet phldrT="[Text]" custT="1"/>
      <dgm:spPr/>
      <dgm:t>
        <a:bodyPr/>
        <a:lstStyle/>
        <a:p>
          <a:r>
            <a:rPr lang="en-US" sz="1600"/>
            <a:t>Community base layer maps</a:t>
          </a:r>
        </a:p>
      </dgm:t>
    </dgm:pt>
    <dgm:pt modelId="{582EC606-A0B6-47A3-9F47-F29FBD879AD3}" type="parTrans" cxnId="{2EBAD319-D3D1-485E-8F01-0A95C4EE7E0D}">
      <dgm:prSet/>
      <dgm:spPr/>
      <dgm:t>
        <a:bodyPr/>
        <a:lstStyle/>
        <a:p>
          <a:endParaRPr lang="en-US" sz="1200"/>
        </a:p>
      </dgm:t>
    </dgm:pt>
    <dgm:pt modelId="{C2CE73D9-F037-4325-A3A3-2829FFB45B24}" type="sibTrans" cxnId="{2EBAD319-D3D1-485E-8F01-0A95C4EE7E0D}">
      <dgm:prSet/>
      <dgm:spPr/>
      <dgm:t>
        <a:bodyPr/>
        <a:lstStyle/>
        <a:p>
          <a:endParaRPr lang="en-US" sz="1200"/>
        </a:p>
      </dgm:t>
    </dgm:pt>
    <dgm:pt modelId="{03A0E2CF-A33D-4E8D-BC75-E777E070A4CA}">
      <dgm:prSet phldrT="[Text]" custT="1"/>
      <dgm:spPr/>
      <dgm:t>
        <a:bodyPr/>
        <a:lstStyle/>
        <a:p>
          <a:r>
            <a:rPr lang="en-US" sz="1200"/>
            <a:t>Participatory mapping</a:t>
          </a:r>
        </a:p>
      </dgm:t>
    </dgm:pt>
    <dgm:pt modelId="{FAEA22C9-4456-4F09-A9D1-F14BBEA1E51F}" type="parTrans" cxnId="{DAE1E67D-2EAB-4AA8-B84F-16413E50B831}">
      <dgm:prSet/>
      <dgm:spPr/>
      <dgm:t>
        <a:bodyPr/>
        <a:lstStyle/>
        <a:p>
          <a:endParaRPr lang="en-US" sz="1200"/>
        </a:p>
      </dgm:t>
    </dgm:pt>
    <dgm:pt modelId="{92DA7DAD-A9BC-48C3-BF52-519FBF1C0F03}" type="sibTrans" cxnId="{DAE1E67D-2EAB-4AA8-B84F-16413E50B831}">
      <dgm:prSet/>
      <dgm:spPr/>
      <dgm:t>
        <a:bodyPr/>
        <a:lstStyle/>
        <a:p>
          <a:endParaRPr lang="en-US" sz="1200"/>
        </a:p>
      </dgm:t>
    </dgm:pt>
    <dgm:pt modelId="{2C614D17-2D00-4375-994C-B0C1112B5C80}">
      <dgm:prSet phldrT="[Text]" custT="1"/>
      <dgm:spPr/>
      <dgm:t>
        <a:bodyPr/>
        <a:lstStyle/>
        <a:p>
          <a:r>
            <a:rPr lang="en-US" sz="1600"/>
            <a:t>Create Indicator Cards</a:t>
          </a:r>
        </a:p>
      </dgm:t>
    </dgm:pt>
    <dgm:pt modelId="{36C8AD8C-7BD9-4EEA-B764-D29DDBBA7AB3}" type="parTrans" cxnId="{79496DD5-BBA0-4819-B298-88E00EF20C0C}">
      <dgm:prSet/>
      <dgm:spPr/>
      <dgm:t>
        <a:bodyPr/>
        <a:lstStyle/>
        <a:p>
          <a:endParaRPr lang="en-US" sz="1200"/>
        </a:p>
      </dgm:t>
    </dgm:pt>
    <dgm:pt modelId="{645C420D-F05E-41F8-ACCC-9E0901EBDA17}" type="sibTrans" cxnId="{79496DD5-BBA0-4819-B298-88E00EF20C0C}">
      <dgm:prSet/>
      <dgm:spPr/>
      <dgm:t>
        <a:bodyPr/>
        <a:lstStyle/>
        <a:p>
          <a:endParaRPr lang="en-US" sz="1200"/>
        </a:p>
      </dgm:t>
    </dgm:pt>
    <dgm:pt modelId="{368BB024-4A2A-45B3-A6C1-7FAAEE360A5D}">
      <dgm:prSet phldrT="[Text]" custT="1"/>
      <dgm:spPr/>
      <dgm:t>
        <a:bodyPr/>
        <a:lstStyle/>
        <a:p>
          <a:r>
            <a:rPr lang="en-US" sz="1200"/>
            <a:t>Indicator Sorting Activity</a:t>
          </a:r>
        </a:p>
      </dgm:t>
    </dgm:pt>
    <dgm:pt modelId="{AFD24963-3D15-4EB9-A13E-EE01873817B3}" type="parTrans" cxnId="{7ED7C760-8A13-4209-B107-D3614CF7B2EE}">
      <dgm:prSet/>
      <dgm:spPr/>
      <dgm:t>
        <a:bodyPr/>
        <a:lstStyle/>
        <a:p>
          <a:endParaRPr lang="en-US" sz="1200"/>
        </a:p>
      </dgm:t>
    </dgm:pt>
    <dgm:pt modelId="{E62BDBC2-32C3-4B47-A013-FCF1F4545527}" type="sibTrans" cxnId="{7ED7C760-8A13-4209-B107-D3614CF7B2EE}">
      <dgm:prSet/>
      <dgm:spPr/>
      <dgm:t>
        <a:bodyPr/>
        <a:lstStyle/>
        <a:p>
          <a:endParaRPr lang="en-US" sz="1200"/>
        </a:p>
      </dgm:t>
    </dgm:pt>
    <dgm:pt modelId="{AEF8EF60-B273-49C7-958E-DB7468CB458C}" type="pres">
      <dgm:prSet presAssocID="{34EC0A35-0238-4244-902F-21BF18879F55}" presName="theList" presStyleCnt="0">
        <dgm:presLayoutVars>
          <dgm:dir/>
          <dgm:animLvl val="lvl"/>
          <dgm:resizeHandles val="exact"/>
        </dgm:presLayoutVars>
      </dgm:prSet>
      <dgm:spPr/>
    </dgm:pt>
    <dgm:pt modelId="{D747D0C5-DD19-4FEC-9DC4-C73B7609A237}" type="pres">
      <dgm:prSet presAssocID="{54429C7F-3031-4189-9639-1398355D99A1}" presName="compNode" presStyleCnt="0"/>
      <dgm:spPr/>
    </dgm:pt>
    <dgm:pt modelId="{32C1A5AD-BADE-41EF-BEEB-1BFC86E92B5A}" type="pres">
      <dgm:prSet presAssocID="{54429C7F-3031-4189-9639-1398355D99A1}" presName="aNode" presStyleLbl="bgShp" presStyleIdx="0" presStyleCnt="1"/>
      <dgm:spPr/>
    </dgm:pt>
    <dgm:pt modelId="{485D6A69-7317-4EC7-96E2-53A0BBFA3DE1}" type="pres">
      <dgm:prSet presAssocID="{54429C7F-3031-4189-9639-1398355D99A1}" presName="textNode" presStyleLbl="bgShp" presStyleIdx="0" presStyleCnt="1"/>
      <dgm:spPr/>
    </dgm:pt>
    <dgm:pt modelId="{951002FE-4365-4B71-AA2C-CE90BA622DE6}" type="pres">
      <dgm:prSet presAssocID="{54429C7F-3031-4189-9639-1398355D99A1}" presName="compChildNode" presStyleCnt="0"/>
      <dgm:spPr/>
    </dgm:pt>
    <dgm:pt modelId="{7B3DC508-3E22-40B6-810F-65989EC55C52}" type="pres">
      <dgm:prSet presAssocID="{54429C7F-3031-4189-9639-1398355D99A1}" presName="theInnerList" presStyleCnt="0"/>
      <dgm:spPr/>
    </dgm:pt>
    <dgm:pt modelId="{DDEB6A5B-7EBD-4A07-A1B8-FBF111C5D3E5}" type="pres">
      <dgm:prSet presAssocID="{2C614D17-2D00-4375-994C-B0C1112B5C80}" presName="childNode" presStyleLbl="node1" presStyleIdx="0" presStyleCnt="2">
        <dgm:presLayoutVars>
          <dgm:bulletEnabled val="1"/>
        </dgm:presLayoutVars>
      </dgm:prSet>
      <dgm:spPr/>
    </dgm:pt>
    <dgm:pt modelId="{BA0CE868-AA5C-47DD-8486-D3E27BC6D5A9}" type="pres">
      <dgm:prSet presAssocID="{2C614D17-2D00-4375-994C-B0C1112B5C80}" presName="aSpace2" presStyleCnt="0"/>
      <dgm:spPr/>
    </dgm:pt>
    <dgm:pt modelId="{E6D461F4-403E-4CFB-A0E6-B1476467DD08}" type="pres">
      <dgm:prSet presAssocID="{03C7C1DA-CEF9-4A56-BC19-A82BAB9790E7}" presName="childNode" presStyleLbl="node1" presStyleIdx="1" presStyleCnt="2">
        <dgm:presLayoutVars>
          <dgm:bulletEnabled val="1"/>
        </dgm:presLayoutVars>
      </dgm:prSet>
      <dgm:spPr/>
    </dgm:pt>
  </dgm:ptLst>
  <dgm:cxnLst>
    <dgm:cxn modelId="{E88A1706-C3EE-4495-BABE-3BA8232B4341}" type="presOf" srcId="{2C614D17-2D00-4375-994C-B0C1112B5C80}" destId="{DDEB6A5B-7EBD-4A07-A1B8-FBF111C5D3E5}" srcOrd="0" destOrd="0" presId="urn:microsoft.com/office/officeart/2005/8/layout/lProcess2"/>
    <dgm:cxn modelId="{20EC310C-4DA6-4DEF-936C-B07CD73A4E22}" type="presOf" srcId="{54429C7F-3031-4189-9639-1398355D99A1}" destId="{32C1A5AD-BADE-41EF-BEEB-1BFC86E92B5A}" srcOrd="0" destOrd="0" presId="urn:microsoft.com/office/officeart/2005/8/layout/lProcess2"/>
    <dgm:cxn modelId="{2EBAD319-D3D1-485E-8F01-0A95C4EE7E0D}" srcId="{54429C7F-3031-4189-9639-1398355D99A1}" destId="{03C7C1DA-CEF9-4A56-BC19-A82BAB9790E7}" srcOrd="1" destOrd="0" parTransId="{582EC606-A0B6-47A3-9F47-F29FBD879AD3}" sibTransId="{C2CE73D9-F037-4325-A3A3-2829FFB45B24}"/>
    <dgm:cxn modelId="{42D18929-73BA-49F9-82A4-34A6C7FBB9DF}" type="presOf" srcId="{368BB024-4A2A-45B3-A6C1-7FAAEE360A5D}" destId="{DDEB6A5B-7EBD-4A07-A1B8-FBF111C5D3E5}" srcOrd="0" destOrd="1" presId="urn:microsoft.com/office/officeart/2005/8/layout/lProcess2"/>
    <dgm:cxn modelId="{7ED7C760-8A13-4209-B107-D3614CF7B2EE}" srcId="{2C614D17-2D00-4375-994C-B0C1112B5C80}" destId="{368BB024-4A2A-45B3-A6C1-7FAAEE360A5D}" srcOrd="0" destOrd="0" parTransId="{AFD24963-3D15-4EB9-A13E-EE01873817B3}" sibTransId="{E62BDBC2-32C3-4B47-A013-FCF1F4545527}"/>
    <dgm:cxn modelId="{12557474-C1BB-443F-9F2F-46F5F7AA465B}" type="presOf" srcId="{03A0E2CF-A33D-4E8D-BC75-E777E070A4CA}" destId="{E6D461F4-403E-4CFB-A0E6-B1476467DD08}" srcOrd="0" destOrd="1" presId="urn:microsoft.com/office/officeart/2005/8/layout/lProcess2"/>
    <dgm:cxn modelId="{DAE1E67D-2EAB-4AA8-B84F-16413E50B831}" srcId="{03C7C1DA-CEF9-4A56-BC19-A82BAB9790E7}" destId="{03A0E2CF-A33D-4E8D-BC75-E777E070A4CA}" srcOrd="0" destOrd="0" parTransId="{FAEA22C9-4456-4F09-A9D1-F14BBEA1E51F}" sibTransId="{92DA7DAD-A9BC-48C3-BF52-519FBF1C0F03}"/>
    <dgm:cxn modelId="{714984A6-9B73-4152-855E-4F6111FDE47D}" srcId="{34EC0A35-0238-4244-902F-21BF18879F55}" destId="{54429C7F-3031-4189-9639-1398355D99A1}" srcOrd="0" destOrd="0" parTransId="{41172226-D588-44A3-ABF6-B2906C66B0F4}" sibTransId="{3069D197-ADB7-418E-A49F-95B95505AAE5}"/>
    <dgm:cxn modelId="{78876CAB-9714-4E40-9315-F62D525A2B09}" type="presOf" srcId="{03C7C1DA-CEF9-4A56-BC19-A82BAB9790E7}" destId="{E6D461F4-403E-4CFB-A0E6-B1476467DD08}" srcOrd="0" destOrd="0" presId="urn:microsoft.com/office/officeart/2005/8/layout/lProcess2"/>
    <dgm:cxn modelId="{79496DD5-BBA0-4819-B298-88E00EF20C0C}" srcId="{54429C7F-3031-4189-9639-1398355D99A1}" destId="{2C614D17-2D00-4375-994C-B0C1112B5C80}" srcOrd="0" destOrd="0" parTransId="{36C8AD8C-7BD9-4EEA-B764-D29DDBBA7AB3}" sibTransId="{645C420D-F05E-41F8-ACCC-9E0901EBDA17}"/>
    <dgm:cxn modelId="{E6B393DB-7561-4453-8ABB-725D5BCFE20C}" type="presOf" srcId="{54429C7F-3031-4189-9639-1398355D99A1}" destId="{485D6A69-7317-4EC7-96E2-53A0BBFA3DE1}" srcOrd="1" destOrd="0" presId="urn:microsoft.com/office/officeart/2005/8/layout/lProcess2"/>
    <dgm:cxn modelId="{2C5BD4E0-6798-4B00-8CFF-B3DC31E55AB2}" type="presOf" srcId="{34EC0A35-0238-4244-902F-21BF18879F55}" destId="{AEF8EF60-B273-49C7-958E-DB7468CB458C}" srcOrd="0" destOrd="0" presId="urn:microsoft.com/office/officeart/2005/8/layout/lProcess2"/>
    <dgm:cxn modelId="{E38E10A3-F762-4877-9F75-C74A4414CB1E}" type="presParOf" srcId="{AEF8EF60-B273-49C7-958E-DB7468CB458C}" destId="{D747D0C5-DD19-4FEC-9DC4-C73B7609A237}" srcOrd="0" destOrd="0" presId="urn:microsoft.com/office/officeart/2005/8/layout/lProcess2"/>
    <dgm:cxn modelId="{B510BFBA-A489-471B-B957-6657FE2C7DC6}" type="presParOf" srcId="{D747D0C5-DD19-4FEC-9DC4-C73B7609A237}" destId="{32C1A5AD-BADE-41EF-BEEB-1BFC86E92B5A}" srcOrd="0" destOrd="0" presId="urn:microsoft.com/office/officeart/2005/8/layout/lProcess2"/>
    <dgm:cxn modelId="{F2687D3C-5661-4A3A-A6C3-C10BE90B0944}" type="presParOf" srcId="{D747D0C5-DD19-4FEC-9DC4-C73B7609A237}" destId="{485D6A69-7317-4EC7-96E2-53A0BBFA3DE1}" srcOrd="1" destOrd="0" presId="urn:microsoft.com/office/officeart/2005/8/layout/lProcess2"/>
    <dgm:cxn modelId="{D6E94398-E439-4FCF-B871-0C64FB024842}" type="presParOf" srcId="{D747D0C5-DD19-4FEC-9DC4-C73B7609A237}" destId="{951002FE-4365-4B71-AA2C-CE90BA622DE6}" srcOrd="2" destOrd="0" presId="urn:microsoft.com/office/officeart/2005/8/layout/lProcess2"/>
    <dgm:cxn modelId="{BD0E88F6-C6E8-4470-8AB5-29DDFF8EAD10}" type="presParOf" srcId="{951002FE-4365-4B71-AA2C-CE90BA622DE6}" destId="{7B3DC508-3E22-40B6-810F-65989EC55C52}" srcOrd="0" destOrd="0" presId="urn:microsoft.com/office/officeart/2005/8/layout/lProcess2"/>
    <dgm:cxn modelId="{88E27E34-EE41-46DC-AFDF-B32447FCF73D}" type="presParOf" srcId="{7B3DC508-3E22-40B6-810F-65989EC55C52}" destId="{DDEB6A5B-7EBD-4A07-A1B8-FBF111C5D3E5}" srcOrd="0" destOrd="0" presId="urn:microsoft.com/office/officeart/2005/8/layout/lProcess2"/>
    <dgm:cxn modelId="{8CE2D4DB-6327-4F59-BBFE-93C66538E475}" type="presParOf" srcId="{7B3DC508-3E22-40B6-810F-65989EC55C52}" destId="{BA0CE868-AA5C-47DD-8486-D3E27BC6D5A9}" srcOrd="1" destOrd="0" presId="urn:microsoft.com/office/officeart/2005/8/layout/lProcess2"/>
    <dgm:cxn modelId="{3837FA43-D943-4173-B65C-49D3927B6F91}" type="presParOf" srcId="{7B3DC508-3E22-40B6-810F-65989EC55C52}" destId="{E6D461F4-403E-4CFB-A0E6-B1476467DD08}" srcOrd="2" destOrd="0" presId="urn:microsoft.com/office/officeart/2005/8/layout/l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1A5AD-BADE-41EF-BEEB-1BFC86E92B5A}">
      <dsp:nvSpPr>
        <dsp:cNvPr id="0" name=""/>
        <dsp:cNvSpPr/>
      </dsp:nvSpPr>
      <dsp:spPr>
        <a:xfrm>
          <a:off x="0" y="0"/>
          <a:ext cx="4596063" cy="195453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Gather data on hazards, equity, and resilience </a:t>
          </a:r>
        </a:p>
      </dsp:txBody>
      <dsp:txXfrm>
        <a:off x="0" y="0"/>
        <a:ext cx="4596063" cy="586359"/>
      </dsp:txXfrm>
    </dsp:sp>
    <dsp:sp modelId="{DDEB6A5B-7EBD-4A07-A1B8-FBF111C5D3E5}">
      <dsp:nvSpPr>
        <dsp:cNvPr id="0" name=""/>
        <dsp:cNvSpPr/>
      </dsp:nvSpPr>
      <dsp:spPr>
        <a:xfrm>
          <a:off x="459606" y="586931"/>
          <a:ext cx="3676850" cy="589317"/>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t" anchorCtr="0">
          <a:noAutofit/>
        </a:bodyPr>
        <a:lstStyle/>
        <a:p>
          <a:pPr marL="0" lvl="0" indent="0" algn="l" defTabSz="711200">
            <a:lnSpc>
              <a:spcPct val="90000"/>
            </a:lnSpc>
            <a:spcBef>
              <a:spcPct val="0"/>
            </a:spcBef>
            <a:spcAft>
              <a:spcPct val="35000"/>
            </a:spcAft>
            <a:buNone/>
          </a:pPr>
          <a:r>
            <a:rPr lang="en-US" sz="1600" kern="1200"/>
            <a:t>Create Indicator Cards</a:t>
          </a:r>
        </a:p>
        <a:p>
          <a:pPr marL="114300" lvl="1" indent="-114300" algn="l" defTabSz="533400">
            <a:lnSpc>
              <a:spcPct val="90000"/>
            </a:lnSpc>
            <a:spcBef>
              <a:spcPct val="0"/>
            </a:spcBef>
            <a:spcAft>
              <a:spcPct val="15000"/>
            </a:spcAft>
            <a:buChar char="•"/>
          </a:pPr>
          <a:r>
            <a:rPr lang="en-US" sz="1200" kern="1200"/>
            <a:t>Indicator Sorting Activity</a:t>
          </a:r>
        </a:p>
      </dsp:txBody>
      <dsp:txXfrm>
        <a:off x="476867" y="604192"/>
        <a:ext cx="3642328" cy="554795"/>
      </dsp:txXfrm>
    </dsp:sp>
    <dsp:sp modelId="{E6D461F4-403E-4CFB-A0E6-B1476467DD08}">
      <dsp:nvSpPr>
        <dsp:cNvPr id="0" name=""/>
        <dsp:cNvSpPr/>
      </dsp:nvSpPr>
      <dsp:spPr>
        <a:xfrm>
          <a:off x="459606" y="1266913"/>
          <a:ext cx="3676850" cy="589317"/>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30480" rIns="40640" bIns="30480" numCol="1" spcCol="1270" anchor="t" anchorCtr="0">
          <a:noAutofit/>
        </a:bodyPr>
        <a:lstStyle/>
        <a:p>
          <a:pPr marL="0" lvl="0" indent="0" algn="l" defTabSz="711200">
            <a:lnSpc>
              <a:spcPct val="90000"/>
            </a:lnSpc>
            <a:spcBef>
              <a:spcPct val="0"/>
            </a:spcBef>
            <a:spcAft>
              <a:spcPct val="35000"/>
            </a:spcAft>
            <a:buNone/>
          </a:pPr>
          <a:r>
            <a:rPr lang="en-US" sz="1600" kern="1200"/>
            <a:t>Community base layer maps</a:t>
          </a:r>
        </a:p>
        <a:p>
          <a:pPr marL="114300" lvl="1" indent="-114300" algn="l" defTabSz="533400">
            <a:lnSpc>
              <a:spcPct val="90000"/>
            </a:lnSpc>
            <a:spcBef>
              <a:spcPct val="0"/>
            </a:spcBef>
            <a:spcAft>
              <a:spcPct val="15000"/>
            </a:spcAft>
            <a:buChar char="•"/>
          </a:pPr>
          <a:r>
            <a:rPr lang="en-US" sz="1200" kern="1200"/>
            <a:t>Participatory mapping</a:t>
          </a:r>
        </a:p>
      </dsp:txBody>
      <dsp:txXfrm>
        <a:off x="476867" y="1284174"/>
        <a:ext cx="3642328" cy="554795"/>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abd40b1-255a-4c6d-9f51-0ab055223958">
      <UserInfo>
        <DisplayName/>
        <AccountId xsi:nil="true"/>
        <AccountType/>
      </UserInfo>
    </SharedWithUsers>
    <lcf76f155ced4ddcb4097134ff3c332f xmlns="782bd00c-d0de-45eb-9b7b-c6eb022f2513">
      <Terms xmlns="http://schemas.microsoft.com/office/infopath/2007/PartnerControls"/>
    </lcf76f155ced4ddcb4097134ff3c332f>
    <notes xmlns="782bd00c-d0de-45eb-9b7b-c6eb022f2513" xsi:nil="true"/>
    <ActionDue xmlns="782bd00c-d0de-45eb-9b7b-c6eb022f2513" xsi:nil="true"/>
    <NextStep xmlns="782bd00c-d0de-45eb-9b7b-c6eb022f251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454AFF765B3A46A6D85DF5789BE378" ma:contentTypeVersion="17" ma:contentTypeDescription="Create a new document." ma:contentTypeScope="" ma:versionID="5ba359b36f47d51126c6d631437d42d7">
  <xsd:schema xmlns:xsd="http://www.w3.org/2001/XMLSchema" xmlns:xs="http://www.w3.org/2001/XMLSchema" xmlns:p="http://schemas.microsoft.com/office/2006/metadata/properties" xmlns:ns2="782bd00c-d0de-45eb-9b7b-c6eb022f2513" xmlns:ns3="6abd40b1-255a-4c6d-9f51-0ab055223958" targetNamespace="http://schemas.microsoft.com/office/2006/metadata/properties" ma:root="true" ma:fieldsID="eb1af9cda8c71099cba75eedc0a9d1b5" ns2:_="" ns3:_="">
    <xsd:import namespace="782bd00c-d0de-45eb-9b7b-c6eb022f2513"/>
    <xsd:import namespace="6abd40b1-255a-4c6d-9f51-0ab055223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otes" minOccurs="0"/>
                <xsd:element ref="ns2:NextStep" minOccurs="0"/>
                <xsd:element ref="ns2:Action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bd00c-d0de-45eb-9b7b-c6eb022f2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Text">
          <xsd:maxLength value="255"/>
        </xsd:restriction>
      </xsd:simpleType>
    </xsd:element>
    <xsd:element name="NextStep" ma:index="22" nillable="true" ma:displayName="Next Step" ma:format="Dropdown" ma:internalName="NextStep">
      <xsd:simpleType>
        <xsd:restriction base="dms:Text">
          <xsd:maxLength value="255"/>
        </xsd:restriction>
      </xsd:simpleType>
    </xsd:element>
    <xsd:element name="ActionDue" ma:index="23" nillable="true" ma:displayName="Action Due" ma:format="DateOnly" ma:internalName="Action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bd40b1-255a-4c6d-9f51-0ab055223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B01B4A-E3DD-40A3-9439-9148B5E83879}">
  <ds:schemaRefs>
    <ds:schemaRef ds:uri="http://schemas.microsoft.com/sharepoint/v3/contenttype/forms"/>
  </ds:schemaRefs>
</ds:datastoreItem>
</file>

<file path=customXml/itemProps2.xml><?xml version="1.0" encoding="utf-8"?>
<ds:datastoreItem xmlns:ds="http://schemas.openxmlformats.org/officeDocument/2006/customXml" ds:itemID="{1FC2BBAC-56A7-4304-8BBF-94A5098FDDD5}">
  <ds:schemaRef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6abd40b1-255a-4c6d-9f51-0ab055223958"/>
    <ds:schemaRef ds:uri="782bd00c-d0de-45eb-9b7b-c6eb022f2513"/>
  </ds:schemaRefs>
</ds:datastoreItem>
</file>

<file path=customXml/itemProps3.xml><?xml version="1.0" encoding="utf-8"?>
<ds:datastoreItem xmlns:ds="http://schemas.openxmlformats.org/officeDocument/2006/customXml" ds:itemID="{A899D5BE-70E1-CB49-B8F4-6CA908803984}">
  <ds:schemaRefs>
    <ds:schemaRef ds:uri="http://schemas.openxmlformats.org/officeDocument/2006/bibliography"/>
  </ds:schemaRefs>
</ds:datastoreItem>
</file>

<file path=customXml/itemProps4.xml><?xml version="1.0" encoding="utf-8"?>
<ds:datastoreItem xmlns:ds="http://schemas.openxmlformats.org/officeDocument/2006/customXml" ds:itemID="{D166052A-FCA7-40D2-AEAB-5A71287B4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bd00c-d0de-45eb-9b7b-c6eb022f2513"/>
    <ds:schemaRef ds:uri="6abd40b1-255a-4c6d-9f51-0ab055223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3579</TotalTime>
  <Pages>7</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Matsler, Marissa</dc:creator>
  <cp:keywords/>
  <dc:description/>
  <cp:lastModifiedBy>Eisenhauer, Emily (she/her/hers)</cp:lastModifiedBy>
  <cp:revision>186</cp:revision>
  <dcterms:created xsi:type="dcterms:W3CDTF">2022-09-12T22:19:00Z</dcterms:created>
  <dcterms:modified xsi:type="dcterms:W3CDTF">2025-01-16T22:04:00Z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0x01010067454AFF765B3A46A6D85DF5789BE378</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y fmtid="{D5CDD505-2E9C-101B-9397-08002B2CF9AE}" pid="9" name="Record">
    <vt:lpwstr>Shared</vt:lpwstr>
  </property>
  <property fmtid="{D5CDD505-2E9C-101B-9397-08002B2CF9AE}" pid="10" name="Order">
    <vt:r8>204500</vt:r8>
  </property>
  <property fmtid="{D5CDD505-2E9C-101B-9397-08002B2CF9AE}" pid="11" name="Language">
    <vt:lpwstr>English</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