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0A6B" w14:textId="7B96989C" w:rsidR="00B855B8" w:rsidRDefault="00B855B8" w:rsidP="00B855B8">
      <w:pPr>
        <w:jc w:val="center"/>
        <w:rPr>
          <w:b/>
        </w:rPr>
      </w:pPr>
      <w:r>
        <w:rPr>
          <w:b/>
        </w:rPr>
        <w:t>SUMMARY OF REQUIREMENTS</w:t>
      </w:r>
    </w:p>
    <w:p w14:paraId="6FD80A6C" w14:textId="77777777" w:rsidR="001A7724" w:rsidRDefault="001A7724" w:rsidP="00B855B8">
      <w:pPr>
        <w:jc w:val="center"/>
        <w:rPr>
          <w:b/>
        </w:rPr>
      </w:pPr>
    </w:p>
    <w:p w14:paraId="6FD80A6D" w14:textId="77777777" w:rsidR="00B855B8" w:rsidRDefault="00B855B8" w:rsidP="00B855B8">
      <w:pPr>
        <w:jc w:val="center"/>
        <w:rPr>
          <w:b/>
        </w:rPr>
      </w:pPr>
      <w:r>
        <w:rPr>
          <w:b/>
        </w:rPr>
        <w:t>CLASS VI OPERATING AND REPORTING CONDITIONS</w:t>
      </w:r>
    </w:p>
    <w:p w14:paraId="6FD80A6F" w14:textId="77777777" w:rsidR="00F64717" w:rsidRDefault="00F64717" w:rsidP="00B855B8">
      <w:pPr>
        <w:rPr>
          <w:b/>
        </w:rPr>
      </w:pPr>
    </w:p>
    <w:p w14:paraId="1CCDC7B9" w14:textId="77777777" w:rsidR="00627B89" w:rsidRPr="00907B2C" w:rsidRDefault="00627B89" w:rsidP="00627B89">
      <w:pPr>
        <w:spacing w:after="480"/>
        <w:jc w:val="center"/>
        <w:rPr>
          <w:b/>
          <w:highlight w:val="yellow"/>
        </w:rPr>
      </w:pPr>
      <w:r w:rsidRPr="00907B2C">
        <w:rPr>
          <w:b/>
          <w:highlight w:val="yellow"/>
        </w:rPr>
        <w:t>INSERT PROJECT NAME</w:t>
      </w:r>
    </w:p>
    <w:tbl>
      <w:tblPr>
        <w:tblStyle w:val="TableGrid"/>
        <w:tblW w:w="9360" w:type="dxa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360"/>
      </w:tblGrid>
      <w:tr w:rsidR="00627B89" w:rsidRPr="00297D2A" w14:paraId="664196A2" w14:textId="77777777" w:rsidTr="00EC1CD8">
        <w:trPr>
          <w:jc w:val="center"/>
        </w:trPr>
        <w:tc>
          <w:tcPr>
            <w:tcW w:w="9360" w:type="dxa"/>
          </w:tcPr>
          <w:p w14:paraId="1D73D103" w14:textId="77777777" w:rsidR="00627B89" w:rsidRPr="00995301" w:rsidRDefault="00627B89" w:rsidP="00EC1CD8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995301">
              <w:rPr>
                <w:b/>
                <w:sz w:val="22"/>
                <w:szCs w:val="22"/>
              </w:rPr>
              <w:t>INSTRUCTIONS</w:t>
            </w:r>
          </w:p>
          <w:p w14:paraId="7F261A88" w14:textId="4D7FA56E" w:rsidR="00627B89" w:rsidRPr="00BC4A9C" w:rsidRDefault="00627B89" w:rsidP="00EC1CD8">
            <w:pPr>
              <w:spacing w:after="120"/>
              <w:rPr>
                <w:sz w:val="22"/>
                <w:szCs w:val="22"/>
              </w:rPr>
            </w:pPr>
            <w:r w:rsidRPr="00AD663D">
              <w:rPr>
                <w:sz w:val="22"/>
                <w:szCs w:val="22"/>
              </w:rPr>
              <w:t>This template provides a</w:t>
            </w:r>
            <w:r w:rsidR="000B6A4E">
              <w:rPr>
                <w:sz w:val="22"/>
                <w:szCs w:val="22"/>
              </w:rPr>
              <w:t xml:space="preserve"> suggested</w:t>
            </w:r>
            <w:r w:rsidRPr="00AD663D">
              <w:rPr>
                <w:sz w:val="22"/>
                <w:szCs w:val="22"/>
              </w:rPr>
              <w:t xml:space="preserve"> outline </w:t>
            </w:r>
            <w:r>
              <w:rPr>
                <w:sz w:val="22"/>
                <w:szCs w:val="22"/>
              </w:rPr>
              <w:t xml:space="preserve">and recommendations </w:t>
            </w:r>
            <w:r w:rsidRPr="00AD663D">
              <w:rPr>
                <w:sz w:val="22"/>
                <w:szCs w:val="22"/>
              </w:rPr>
              <w:t xml:space="preserve">for the </w:t>
            </w:r>
            <w:r>
              <w:rPr>
                <w:sz w:val="22"/>
                <w:szCs w:val="22"/>
              </w:rPr>
              <w:t xml:space="preserve">summary of operating and reporting requirements. </w:t>
            </w:r>
            <w:r w:rsidR="000B6A4E" w:rsidRPr="005A76A0">
              <w:rPr>
                <w:sz w:val="22"/>
                <w:szCs w:val="22"/>
              </w:rPr>
              <w:t xml:space="preserve">Permit applicants are not required to use this template. This document does not substitute for promulgated provisions or regulations, nor is it a regulation itself, and it does not impose </w:t>
            </w:r>
            <w:proofErr w:type="gramStart"/>
            <w:r w:rsidR="000B6A4E" w:rsidRPr="005A76A0">
              <w:rPr>
                <w:sz w:val="22"/>
                <w:szCs w:val="22"/>
              </w:rPr>
              <w:t>legally-binding</w:t>
            </w:r>
            <w:proofErr w:type="gramEnd"/>
            <w:r w:rsidR="000B6A4E" w:rsidRPr="005A76A0">
              <w:rPr>
                <w:sz w:val="22"/>
                <w:szCs w:val="22"/>
              </w:rPr>
              <w:t xml:space="preserve"> requirements on the U.S. Environmental Protection Agency (EPA), states, or the regulated community.</w:t>
            </w:r>
          </w:p>
          <w:p w14:paraId="72C79291" w14:textId="161D06C1" w:rsidR="000B6A4E" w:rsidRDefault="000B6A4E" w:rsidP="000B6A4E">
            <w:pPr>
              <w:spacing w:after="120"/>
              <w:rPr>
                <w:sz w:val="22"/>
                <w:szCs w:val="22"/>
              </w:rPr>
            </w:pPr>
            <w:r w:rsidRPr="00D96466">
              <w:rPr>
                <w:sz w:val="22"/>
              </w:rPr>
              <w:t>In this template, instruction</w:t>
            </w:r>
            <w:r>
              <w:rPr>
                <w:sz w:val="22"/>
              </w:rPr>
              <w:t>s</w:t>
            </w:r>
            <w:r w:rsidRPr="00D96466">
              <w:rPr>
                <w:sz w:val="22"/>
              </w:rPr>
              <w:t xml:space="preserve"> or suggestions appear in </w:t>
            </w:r>
            <w:r w:rsidRPr="00D2453D">
              <w:rPr>
                <w:b/>
                <w:i/>
                <w:iCs/>
                <w:color w:val="0070C0"/>
                <w:sz w:val="22"/>
              </w:rPr>
              <w:t>blue text</w:t>
            </w:r>
            <w:r w:rsidRPr="00D96466">
              <w:rPr>
                <w:sz w:val="22"/>
              </w:rPr>
              <w:t>. These are provided to assist with site- and project-specific plan development.</w:t>
            </w:r>
            <w:r w:rsidRPr="00A1130D">
              <w:rPr>
                <w:sz w:val="22"/>
              </w:rPr>
              <w:t xml:space="preserve"> </w:t>
            </w:r>
            <w:r w:rsidRPr="00D96466">
              <w:rPr>
                <w:sz w:val="22"/>
              </w:rPr>
              <w:t>These are recommendations and are not required elements of the federal Class VI Rule</w:t>
            </w:r>
            <w:r w:rsidRPr="00A1130D">
              <w:rPr>
                <w:sz w:val="22"/>
              </w:rPr>
              <w:t xml:space="preserve">. </w:t>
            </w:r>
          </w:p>
          <w:p w14:paraId="6D4EADB9" w14:textId="20F5812C" w:rsidR="000B6A4E" w:rsidRPr="005A76A0" w:rsidRDefault="000B6A4E" w:rsidP="000B6A4E">
            <w:pPr>
              <w:spacing w:after="120"/>
              <w:rPr>
                <w:sz w:val="22"/>
                <w:szCs w:val="22"/>
              </w:rPr>
            </w:pPr>
            <w:r w:rsidRPr="005A76A0">
              <w:rPr>
                <w:sz w:val="22"/>
                <w:szCs w:val="22"/>
              </w:rPr>
              <w:t xml:space="preserve">Please delete the </w:t>
            </w:r>
            <w:r w:rsidRPr="00D2453D">
              <w:rPr>
                <w:b/>
                <w:i/>
                <w:iCs/>
                <w:color w:val="0070C0"/>
                <w:sz w:val="22"/>
              </w:rPr>
              <w:t>blue text</w:t>
            </w:r>
            <w:r w:rsidRPr="00A1130D">
              <w:rPr>
                <w:sz w:val="22"/>
              </w:rPr>
              <w:t xml:space="preserve"> and replace the </w:t>
            </w:r>
            <w:r w:rsidRPr="003E1605">
              <w:rPr>
                <w:sz w:val="22"/>
                <w:highlight w:val="yellow"/>
              </w:rPr>
              <w:t>yellow highlighted text</w:t>
            </w:r>
            <w:r w:rsidRPr="00A1130D">
              <w:rPr>
                <w:sz w:val="22"/>
              </w:rPr>
              <w:t xml:space="preserve"> </w:t>
            </w:r>
            <w:r w:rsidRPr="005A76A0">
              <w:rPr>
                <w:sz w:val="22"/>
                <w:szCs w:val="22"/>
              </w:rPr>
              <w:t xml:space="preserve">before submitting your document. Similarly, please adjust the example text and tables throughout as necessary (e.g., by adding or removing rows or columns). </w:t>
            </w:r>
          </w:p>
          <w:p w14:paraId="69A12627" w14:textId="24B01CFE" w:rsidR="00627B89" w:rsidRPr="000B6A4E" w:rsidRDefault="000B6A4E" w:rsidP="000B6A4E">
            <w:pPr>
              <w:spacing w:after="60"/>
              <w:rPr>
                <w:sz w:val="22"/>
                <w:szCs w:val="22"/>
              </w:rPr>
            </w:pPr>
            <w:r w:rsidRPr="005A76A0">
              <w:rPr>
                <w:sz w:val="22"/>
                <w:szCs w:val="22"/>
              </w:rPr>
              <w:t xml:space="preserve">For more information, see EPA’s Class VI guidance documents at </w:t>
            </w:r>
            <w:hyperlink r:id="rId12" w:history="1">
              <w:r w:rsidRPr="008B253F">
                <w:rPr>
                  <w:rStyle w:val="Hyperlink"/>
                  <w:sz w:val="22"/>
                  <w:szCs w:val="22"/>
                </w:rPr>
                <w:t>https://www.epa.gov/uic/class-vi-guidance-documents</w:t>
              </w:r>
            </w:hyperlink>
            <w:r w:rsidR="00627B89" w:rsidRPr="00140435">
              <w:rPr>
                <w:sz w:val="22"/>
                <w:szCs w:val="22"/>
              </w:rPr>
              <w:t xml:space="preserve">. </w:t>
            </w:r>
          </w:p>
        </w:tc>
      </w:tr>
    </w:tbl>
    <w:p w14:paraId="1D52736D" w14:textId="77777777" w:rsidR="00627B89" w:rsidRPr="0002450D" w:rsidRDefault="00627B89" w:rsidP="0002450D">
      <w:pPr>
        <w:pStyle w:val="Heading1"/>
      </w:pPr>
      <w:r w:rsidRPr="0002450D">
        <w:t>Facility Information</w:t>
      </w:r>
    </w:p>
    <w:p w14:paraId="6FD80A70" w14:textId="6443F81F" w:rsidR="004E1C40" w:rsidRDefault="00D50CE3" w:rsidP="004E1C40">
      <w:r w:rsidRPr="004049B0">
        <w:t xml:space="preserve">Facility name: </w:t>
      </w:r>
      <w:r w:rsidRPr="004049B0">
        <w:tab/>
      </w:r>
      <w:r w:rsidRPr="004049B0">
        <w:tab/>
      </w:r>
      <w:r w:rsidR="00123BB9" w:rsidRPr="00123BB9">
        <w:rPr>
          <w:highlight w:val="yellow"/>
        </w:rPr>
        <w:t xml:space="preserve">INSERT </w:t>
      </w:r>
      <w:r w:rsidR="0044450F" w:rsidRPr="00123BB9">
        <w:rPr>
          <w:highlight w:val="yellow"/>
        </w:rPr>
        <w:t>FACILITY NAME</w:t>
      </w:r>
    </w:p>
    <w:p w14:paraId="6FD80A71" w14:textId="79624A9D" w:rsidR="0044450F" w:rsidRPr="00123BB9" w:rsidRDefault="0044450F" w:rsidP="004E1C40">
      <w:r>
        <w:tab/>
      </w:r>
      <w:r>
        <w:tab/>
      </w:r>
      <w:r>
        <w:tab/>
      </w:r>
      <w:r w:rsidR="00123BB9" w:rsidRPr="00123BB9">
        <w:rPr>
          <w:highlight w:val="yellow"/>
        </w:rPr>
        <w:t xml:space="preserve">INSERT </w:t>
      </w:r>
      <w:r w:rsidRPr="00123BB9">
        <w:rPr>
          <w:highlight w:val="yellow"/>
        </w:rPr>
        <w:t>WELL NUMBER</w:t>
      </w:r>
    </w:p>
    <w:p w14:paraId="6FD80A72" w14:textId="77777777" w:rsidR="00D50CE3" w:rsidRPr="004049B0" w:rsidRDefault="004E1C40" w:rsidP="0044450F">
      <w:pPr>
        <w:ind w:left="720"/>
      </w:pPr>
      <w:r>
        <w:tab/>
      </w:r>
      <w:r>
        <w:tab/>
      </w:r>
    </w:p>
    <w:p w14:paraId="6FD80A77" w14:textId="5ABD08EE" w:rsidR="00D50CE3" w:rsidRPr="00123BB9" w:rsidRDefault="00D50CE3" w:rsidP="00D50CE3">
      <w:r w:rsidRPr="00123BB9">
        <w:t xml:space="preserve">Well location: </w:t>
      </w:r>
      <w:r w:rsidRPr="00123BB9">
        <w:tab/>
      </w:r>
      <w:r w:rsidRPr="00123BB9">
        <w:tab/>
      </w:r>
      <w:r w:rsidR="00123BB9" w:rsidRPr="00123BB9">
        <w:rPr>
          <w:highlight w:val="yellow"/>
        </w:rPr>
        <w:t xml:space="preserve">INSERT </w:t>
      </w:r>
      <w:r w:rsidR="0044450F" w:rsidRPr="00123BB9">
        <w:rPr>
          <w:highlight w:val="yellow"/>
        </w:rPr>
        <w:t>CITY, COUNTY, STATE</w:t>
      </w:r>
      <w:r w:rsidRPr="00123BB9">
        <w:t xml:space="preserve"> </w:t>
      </w:r>
    </w:p>
    <w:p w14:paraId="6FD80A78" w14:textId="764464E4" w:rsidR="00D50CE3" w:rsidRPr="00123BB9" w:rsidRDefault="00123BB9" w:rsidP="00D50CE3">
      <w:pPr>
        <w:ind w:left="1440" w:firstLine="720"/>
      </w:pPr>
      <w:r w:rsidRPr="00123BB9">
        <w:rPr>
          <w:highlight w:val="yellow"/>
        </w:rPr>
        <w:t xml:space="preserve">INSERT </w:t>
      </w:r>
      <w:r w:rsidR="0044450F" w:rsidRPr="00123BB9">
        <w:rPr>
          <w:highlight w:val="yellow"/>
        </w:rPr>
        <w:t>LAT/LONG COORDINATES</w:t>
      </w:r>
    </w:p>
    <w:p w14:paraId="6FD80A7B" w14:textId="55D4A83A" w:rsidR="00B855B8" w:rsidRPr="0002450D" w:rsidRDefault="00992BFC" w:rsidP="000B6A4E">
      <w:pPr>
        <w:pStyle w:val="Heading1"/>
        <w:keepNext/>
        <w:keepLines/>
      </w:pPr>
      <w:r>
        <w:t xml:space="preserve">Table 1. </w:t>
      </w:r>
      <w:r w:rsidR="00B855B8" w:rsidRPr="0002450D">
        <w:t>Injection Well Operating Conditions</w:t>
      </w:r>
    </w:p>
    <w:tbl>
      <w:tblPr>
        <w:tblStyle w:val="TableGrid"/>
        <w:tblW w:w="9360" w:type="dxa"/>
        <w:jc w:val="center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Caption w:val="Injection Well Operating Conditions"/>
        <w:tblDescription w:val="This table shows the Injection Well Operating Parameters/Conditions and the Limitation or Permitted Value."/>
      </w:tblPr>
      <w:tblGrid>
        <w:gridCol w:w="4680"/>
        <w:gridCol w:w="4680"/>
      </w:tblGrid>
      <w:tr w:rsidR="005D3FAC" w:rsidRPr="0002450D" w14:paraId="6FD80A7F" w14:textId="77777777" w:rsidTr="00AA69C9">
        <w:trPr>
          <w:jc w:val="center"/>
        </w:trPr>
        <w:tc>
          <w:tcPr>
            <w:tcW w:w="4680" w:type="dxa"/>
          </w:tcPr>
          <w:p w14:paraId="6FD80A7C" w14:textId="77777777" w:rsidR="005D3FAC" w:rsidRPr="0002450D" w:rsidRDefault="005D3FAC" w:rsidP="000B6A4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02450D">
              <w:rPr>
                <w:b/>
                <w:sz w:val="20"/>
                <w:szCs w:val="20"/>
              </w:rPr>
              <w:t>PARAMETER/CONDITION</w:t>
            </w:r>
          </w:p>
        </w:tc>
        <w:tc>
          <w:tcPr>
            <w:tcW w:w="4680" w:type="dxa"/>
          </w:tcPr>
          <w:p w14:paraId="6FD80A7D" w14:textId="77777777" w:rsidR="005D3FAC" w:rsidRPr="0002450D" w:rsidRDefault="005D3FAC" w:rsidP="000B6A4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02450D">
              <w:rPr>
                <w:b/>
                <w:sz w:val="20"/>
                <w:szCs w:val="20"/>
              </w:rPr>
              <w:t>LIMITATION or PERMITTED VALUE</w:t>
            </w:r>
          </w:p>
        </w:tc>
      </w:tr>
      <w:tr w:rsidR="005D3FAC" w:rsidRPr="0002450D" w14:paraId="6FD80A83" w14:textId="77777777" w:rsidTr="00AA69C9">
        <w:trPr>
          <w:jc w:val="center"/>
        </w:trPr>
        <w:tc>
          <w:tcPr>
            <w:tcW w:w="4680" w:type="dxa"/>
          </w:tcPr>
          <w:p w14:paraId="6FD80A80" w14:textId="77777777" w:rsidR="005D3FAC" w:rsidRPr="0002450D" w:rsidRDefault="005D3FAC" w:rsidP="000B6A4E">
            <w:pPr>
              <w:keepNext/>
              <w:keepLines/>
              <w:rPr>
                <w:sz w:val="20"/>
                <w:szCs w:val="20"/>
              </w:rPr>
            </w:pPr>
            <w:r w:rsidRPr="0002450D">
              <w:rPr>
                <w:sz w:val="20"/>
                <w:szCs w:val="20"/>
              </w:rPr>
              <w:t>Maximum Injection Pressure - Surface</w:t>
            </w:r>
          </w:p>
        </w:tc>
        <w:tc>
          <w:tcPr>
            <w:tcW w:w="4680" w:type="dxa"/>
          </w:tcPr>
          <w:p w14:paraId="6FD80A81" w14:textId="73E1C447" w:rsidR="005D3FAC" w:rsidRPr="0002450D" w:rsidRDefault="005D3FAC" w:rsidP="000B6A4E">
            <w:pPr>
              <w:keepNext/>
              <w:keepLine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D3FAC" w:rsidRPr="0002450D" w14:paraId="4850C83F" w14:textId="77777777" w:rsidTr="00AA69C9">
        <w:trPr>
          <w:jc w:val="center"/>
        </w:trPr>
        <w:tc>
          <w:tcPr>
            <w:tcW w:w="4680" w:type="dxa"/>
          </w:tcPr>
          <w:p w14:paraId="27FE676C" w14:textId="4917F9E3" w:rsidR="005D3FAC" w:rsidRPr="0002450D" w:rsidRDefault="005D3FAC" w:rsidP="000B6A4E">
            <w:pPr>
              <w:keepNext/>
              <w:keepLines/>
              <w:rPr>
                <w:sz w:val="20"/>
                <w:szCs w:val="20"/>
              </w:rPr>
            </w:pPr>
            <w:r w:rsidRPr="0002450D">
              <w:rPr>
                <w:sz w:val="20"/>
                <w:szCs w:val="20"/>
              </w:rPr>
              <w:t>Maximum Injection Pressure - Bottomhole</w:t>
            </w:r>
          </w:p>
        </w:tc>
        <w:tc>
          <w:tcPr>
            <w:tcW w:w="4680" w:type="dxa"/>
          </w:tcPr>
          <w:p w14:paraId="65D27472" w14:textId="3733CE08" w:rsidR="005D3FAC" w:rsidRPr="0002450D" w:rsidRDefault="005D3FAC" w:rsidP="000B6A4E">
            <w:pPr>
              <w:keepNext/>
              <w:keepLine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D3FAC" w:rsidRPr="0002450D" w14:paraId="6FD80A87" w14:textId="77777777" w:rsidTr="00AA69C9">
        <w:trPr>
          <w:jc w:val="center"/>
        </w:trPr>
        <w:tc>
          <w:tcPr>
            <w:tcW w:w="4680" w:type="dxa"/>
          </w:tcPr>
          <w:p w14:paraId="6FD80A84" w14:textId="77777777" w:rsidR="005D3FAC" w:rsidRPr="0002450D" w:rsidRDefault="005D3FAC" w:rsidP="000B6A4E">
            <w:pPr>
              <w:keepNext/>
              <w:keepLines/>
              <w:rPr>
                <w:sz w:val="20"/>
                <w:szCs w:val="20"/>
              </w:rPr>
            </w:pPr>
            <w:r w:rsidRPr="0002450D">
              <w:rPr>
                <w:sz w:val="20"/>
                <w:szCs w:val="20"/>
              </w:rPr>
              <w:t>Annulus Pressure</w:t>
            </w:r>
          </w:p>
        </w:tc>
        <w:tc>
          <w:tcPr>
            <w:tcW w:w="4680" w:type="dxa"/>
          </w:tcPr>
          <w:p w14:paraId="6FD80A85" w14:textId="5973D4A8" w:rsidR="005D3FAC" w:rsidRPr="0002450D" w:rsidRDefault="005D3FAC" w:rsidP="000B6A4E">
            <w:pPr>
              <w:keepNext/>
              <w:keepLine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D3FAC" w:rsidRPr="0002450D" w14:paraId="6FD80A8B" w14:textId="77777777" w:rsidTr="00AA69C9">
        <w:trPr>
          <w:jc w:val="center"/>
        </w:trPr>
        <w:tc>
          <w:tcPr>
            <w:tcW w:w="4680" w:type="dxa"/>
          </w:tcPr>
          <w:p w14:paraId="6FD80A88" w14:textId="77777777" w:rsidR="005D3FAC" w:rsidRPr="0002450D" w:rsidRDefault="005D3FAC" w:rsidP="000B6A4E">
            <w:pPr>
              <w:keepNext/>
              <w:keepLines/>
              <w:rPr>
                <w:sz w:val="20"/>
                <w:szCs w:val="20"/>
              </w:rPr>
            </w:pPr>
            <w:r w:rsidRPr="0002450D">
              <w:rPr>
                <w:sz w:val="20"/>
                <w:szCs w:val="20"/>
              </w:rPr>
              <w:t>Annulus Pressure/Tubing Differential</w:t>
            </w:r>
          </w:p>
        </w:tc>
        <w:tc>
          <w:tcPr>
            <w:tcW w:w="4680" w:type="dxa"/>
          </w:tcPr>
          <w:p w14:paraId="6FD80A89" w14:textId="4BB2235F" w:rsidR="005D3FAC" w:rsidRPr="0002450D" w:rsidRDefault="005D3FAC" w:rsidP="000B6A4E">
            <w:pPr>
              <w:keepNext/>
              <w:keepLine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D3FAC" w:rsidRPr="0002450D" w14:paraId="106FF9E0" w14:textId="77777777" w:rsidTr="00AA69C9">
        <w:trPr>
          <w:jc w:val="center"/>
        </w:trPr>
        <w:tc>
          <w:tcPr>
            <w:tcW w:w="4680" w:type="dxa"/>
          </w:tcPr>
          <w:p w14:paraId="650555D1" w14:textId="069F7057" w:rsidR="005D3FAC" w:rsidRPr="0002450D" w:rsidRDefault="005D3FAC" w:rsidP="000B6A4E">
            <w:pPr>
              <w:keepNext/>
              <w:keepLines/>
              <w:rPr>
                <w:sz w:val="20"/>
                <w:szCs w:val="20"/>
              </w:rPr>
            </w:pPr>
            <w:r w:rsidRPr="0002450D">
              <w:rPr>
                <w:sz w:val="20"/>
                <w:szCs w:val="20"/>
              </w:rPr>
              <w:t>Maximum CO</w:t>
            </w:r>
            <w:r w:rsidRPr="0002450D">
              <w:rPr>
                <w:sz w:val="20"/>
                <w:szCs w:val="20"/>
                <w:vertAlign w:val="subscript"/>
              </w:rPr>
              <w:t>2</w:t>
            </w:r>
            <w:r w:rsidRPr="0002450D">
              <w:rPr>
                <w:sz w:val="20"/>
                <w:szCs w:val="20"/>
              </w:rPr>
              <w:t xml:space="preserve"> Injection Rate</w:t>
            </w:r>
          </w:p>
        </w:tc>
        <w:tc>
          <w:tcPr>
            <w:tcW w:w="4680" w:type="dxa"/>
          </w:tcPr>
          <w:p w14:paraId="18BA28CA" w14:textId="09F7FB37" w:rsidR="005D3FAC" w:rsidRPr="0002450D" w:rsidRDefault="005D3FAC" w:rsidP="000B6A4E">
            <w:pPr>
              <w:keepNext/>
              <w:keepLine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D447CA0" w14:textId="77777777" w:rsidR="000B6A4E" w:rsidRDefault="000B6A4E" w:rsidP="000B6A4E">
      <w:pPr>
        <w:keepNext/>
        <w:keepLines/>
        <w:rPr>
          <w:i/>
          <w:iCs/>
          <w:color w:val="0070C0"/>
          <w:sz w:val="22"/>
          <w:szCs w:val="22"/>
        </w:rPr>
      </w:pPr>
    </w:p>
    <w:p w14:paraId="6FD80A8D" w14:textId="0E69A155" w:rsidR="00B855B8" w:rsidRPr="008141C8" w:rsidRDefault="0092083B" w:rsidP="00123BB9">
      <w:pPr>
        <w:rPr>
          <w:i/>
          <w:iCs/>
        </w:rPr>
      </w:pPr>
      <w:r w:rsidRPr="008141C8">
        <w:rPr>
          <w:i/>
          <w:iCs/>
          <w:color w:val="0070C0"/>
        </w:rPr>
        <w:t>[</w:t>
      </w:r>
      <w:r w:rsidR="003C25B8" w:rsidRPr="008141C8">
        <w:rPr>
          <w:i/>
          <w:iCs/>
          <w:color w:val="0070C0"/>
        </w:rPr>
        <w:t xml:space="preserve">Continuous monitoring of injection pressure, </w:t>
      </w:r>
      <w:r w:rsidR="00B807E2" w:rsidRPr="008141C8">
        <w:rPr>
          <w:i/>
          <w:iCs/>
          <w:color w:val="0070C0"/>
        </w:rPr>
        <w:t xml:space="preserve">rate, and volume and the pressure on the annulus between the tubing and the long-string casing </w:t>
      </w:r>
      <w:r w:rsidR="003C25B8" w:rsidRPr="008141C8">
        <w:rPr>
          <w:i/>
          <w:iCs/>
          <w:color w:val="0070C0"/>
        </w:rPr>
        <w:t>is required; include additional monitoring parameters (e.g., of temperature) as appropriate.</w:t>
      </w:r>
      <w:r>
        <w:rPr>
          <w:i/>
          <w:iCs/>
          <w:color w:val="0070C0"/>
        </w:rPr>
        <w:t>]</w:t>
      </w:r>
    </w:p>
    <w:p w14:paraId="7FD31B4E" w14:textId="77777777" w:rsidR="000B6A4E" w:rsidRDefault="000B6A4E" w:rsidP="0002450D">
      <w:pPr>
        <w:spacing w:after="200"/>
      </w:pPr>
    </w:p>
    <w:p w14:paraId="6FD80A8F" w14:textId="28EEAEC3" w:rsidR="00B855B8" w:rsidRPr="00CF0FA8" w:rsidRDefault="0045614F" w:rsidP="0002450D">
      <w:pPr>
        <w:spacing w:after="200"/>
      </w:pPr>
      <w:r w:rsidRPr="0045614F">
        <w:t>The maximum injection pressure, which serves to prevent confining-formation fracturing, was determined</w:t>
      </w:r>
      <w:r w:rsidR="003248B4">
        <w:t xml:space="preserve">: </w:t>
      </w:r>
      <w:r w:rsidRPr="0045614F">
        <w:t>using the</w:t>
      </w:r>
      <w:r w:rsidR="00F67B76">
        <w:t xml:space="preserve"> fracture gradient obtained from </w:t>
      </w:r>
      <w:r w:rsidR="003248B4" w:rsidRPr="003248B4">
        <w:rPr>
          <w:highlight w:val="yellow"/>
        </w:rPr>
        <w:t>INSERT INFORMATIO</w:t>
      </w:r>
      <w:r w:rsidR="0002450D">
        <w:rPr>
          <w:highlight w:val="yellow"/>
        </w:rPr>
        <w:t>N SOURCE</w:t>
      </w:r>
      <w:r w:rsidR="003248B4">
        <w:t xml:space="preserve"> </w:t>
      </w:r>
      <w:r w:rsidR="00F67B76">
        <w:t>multiplied by</w:t>
      </w:r>
      <w:r w:rsidR="00187F92">
        <w:t xml:space="preserve"> </w:t>
      </w:r>
      <w:r w:rsidR="0002450D">
        <w:t xml:space="preserve">0.9, </w:t>
      </w:r>
      <w:r w:rsidR="003248B4">
        <w:t xml:space="preserve">per </w:t>
      </w:r>
      <w:r w:rsidR="0002450D">
        <w:t>40 CFR 146.88</w:t>
      </w:r>
      <w:r w:rsidR="00187F92">
        <w:t>(a)</w:t>
      </w:r>
      <w:r w:rsidR="003248B4">
        <w:t>.</w:t>
      </w:r>
      <w:r w:rsidR="00627B89">
        <w:t xml:space="preserve"> </w:t>
      </w:r>
      <w:r w:rsidR="0092083B" w:rsidRPr="008141C8">
        <w:rPr>
          <w:i/>
          <w:iCs/>
          <w:color w:val="0070C0"/>
        </w:rPr>
        <w:t>[</w:t>
      </w:r>
      <w:r w:rsidR="00627B89" w:rsidRPr="008141C8">
        <w:rPr>
          <w:i/>
          <w:iCs/>
          <w:color w:val="0070C0"/>
        </w:rPr>
        <w:t>Adjust this paragraph as needed</w:t>
      </w:r>
      <w:r w:rsidR="00E8300A" w:rsidRPr="008141C8">
        <w:rPr>
          <w:i/>
          <w:iCs/>
          <w:color w:val="0070C0"/>
        </w:rPr>
        <w:t>, e.g.,</w:t>
      </w:r>
      <w:r w:rsidR="00627B89" w:rsidRPr="008141C8">
        <w:rPr>
          <w:i/>
          <w:iCs/>
          <w:color w:val="0070C0"/>
        </w:rPr>
        <w:t xml:space="preserve"> if the maximum injection pressure is lower than 90 percent of the fracture pressure of the confining zone.</w:t>
      </w:r>
      <w:r w:rsidR="0092083B">
        <w:rPr>
          <w:i/>
          <w:iCs/>
          <w:color w:val="0070C0"/>
        </w:rPr>
        <w:t>]</w:t>
      </w:r>
    </w:p>
    <w:p w14:paraId="6FD80A91" w14:textId="6B8EE616" w:rsidR="00B855B8" w:rsidRPr="0002450D" w:rsidRDefault="0002450D" w:rsidP="0002450D">
      <w:pPr>
        <w:pStyle w:val="Heading1"/>
      </w:pPr>
      <w:r>
        <w:t>Routine Shutdown Procedure</w:t>
      </w:r>
      <w:r w:rsidR="00B855B8">
        <w:t xml:space="preserve"> </w:t>
      </w:r>
    </w:p>
    <w:p w14:paraId="6FD80A92" w14:textId="6C7BF41D" w:rsidR="00447B01" w:rsidRDefault="0078149C" w:rsidP="0002450D">
      <w:pPr>
        <w:spacing w:after="200"/>
      </w:pPr>
      <w:r>
        <w:t>For injection shutdowns occur</w:t>
      </w:r>
      <w:r w:rsidR="008141C8">
        <w:t>r</w:t>
      </w:r>
      <w:r>
        <w:t>ing u</w:t>
      </w:r>
      <w:r w:rsidR="00D50CE3">
        <w:t>nder routine conditions</w:t>
      </w:r>
      <w:r w:rsidR="002C570A">
        <w:t xml:space="preserve"> (e.g., for well workovers)</w:t>
      </w:r>
      <w:r w:rsidR="00D50CE3">
        <w:t>, t</w:t>
      </w:r>
      <w:r w:rsidR="00B855B8">
        <w:t xml:space="preserve">he permittee </w:t>
      </w:r>
      <w:r w:rsidR="002C570A" w:rsidRPr="002C570A">
        <w:t>will reduce CO</w:t>
      </w:r>
      <w:r w:rsidR="002C570A" w:rsidRPr="002C570A">
        <w:rPr>
          <w:vertAlign w:val="subscript"/>
        </w:rPr>
        <w:t>2</w:t>
      </w:r>
      <w:r w:rsidR="002C570A" w:rsidRPr="002C570A">
        <w:t xml:space="preserve"> injection at a rate </w:t>
      </w:r>
      <w:r w:rsidR="00CF0FA8">
        <w:t>of</w:t>
      </w:r>
      <w:r w:rsidR="002C570A" w:rsidRPr="002C570A">
        <w:t xml:space="preserve"> </w:t>
      </w:r>
      <w:r w:rsidR="00123BB9" w:rsidRPr="00123BB9">
        <w:rPr>
          <w:highlight w:val="yellow"/>
        </w:rPr>
        <w:t>INSERT</w:t>
      </w:r>
      <w:r w:rsidR="00123BB9">
        <w:rPr>
          <w:highlight w:val="yellow"/>
        </w:rPr>
        <w:t xml:space="preserve"> </w:t>
      </w:r>
      <w:r w:rsidR="003248B4">
        <w:rPr>
          <w:highlight w:val="yellow"/>
        </w:rPr>
        <w:t>X</w:t>
      </w:r>
      <w:r w:rsidR="002C570A" w:rsidRPr="003248B4">
        <w:rPr>
          <w:highlight w:val="yellow"/>
        </w:rPr>
        <w:t xml:space="preserve"> </w:t>
      </w:r>
      <w:r w:rsidR="002C570A" w:rsidRPr="0078149C">
        <w:rPr>
          <w:highlight w:val="yellow"/>
        </w:rPr>
        <w:t>ton</w:t>
      </w:r>
      <w:r w:rsidR="003930FB" w:rsidRPr="0078149C">
        <w:rPr>
          <w:highlight w:val="yellow"/>
        </w:rPr>
        <w:t>s</w:t>
      </w:r>
      <w:r w:rsidR="002C570A" w:rsidRPr="008141C8">
        <w:rPr>
          <w:highlight w:val="yellow"/>
        </w:rPr>
        <w:t xml:space="preserve"> per day</w:t>
      </w:r>
      <w:r w:rsidR="002C570A" w:rsidRPr="00050A99">
        <w:t xml:space="preserve"> over </w:t>
      </w:r>
      <w:proofErr w:type="gramStart"/>
      <w:r w:rsidR="002C570A" w:rsidRPr="00050A99">
        <w:t>a</w:t>
      </w:r>
      <w:proofErr w:type="gramEnd"/>
      <w:r w:rsidR="002C570A" w:rsidRPr="00050A99">
        <w:t xml:space="preserve"> </w:t>
      </w:r>
      <w:r w:rsidR="00123BB9" w:rsidRPr="00123BB9">
        <w:rPr>
          <w:highlight w:val="yellow"/>
        </w:rPr>
        <w:t>INSERT</w:t>
      </w:r>
      <w:r w:rsidR="00123BB9">
        <w:rPr>
          <w:highlight w:val="yellow"/>
        </w:rPr>
        <w:t xml:space="preserve"> </w:t>
      </w:r>
      <w:r w:rsidR="003248B4">
        <w:rPr>
          <w:highlight w:val="yellow"/>
        </w:rPr>
        <w:t xml:space="preserve">X </w:t>
      </w:r>
      <w:r w:rsidR="002C570A" w:rsidRPr="003248B4">
        <w:rPr>
          <w:highlight w:val="yellow"/>
        </w:rPr>
        <w:t>day</w:t>
      </w:r>
      <w:r w:rsidR="002C570A" w:rsidRPr="00050A99">
        <w:t xml:space="preserve"> period to ensure protection of health, safety, and the environment.</w:t>
      </w:r>
      <w:r w:rsidR="002C570A" w:rsidRPr="00E8300A">
        <w:t xml:space="preserve">  (Procedures that address</w:t>
      </w:r>
      <w:r w:rsidR="00D50CE3">
        <w:t xml:space="preserve"> immediately shutting in the well</w:t>
      </w:r>
      <w:r w:rsidR="002C570A">
        <w:t xml:space="preserve"> are in </w:t>
      </w:r>
      <w:r w:rsidR="005D4A39">
        <w:t xml:space="preserve">the </w:t>
      </w:r>
      <w:r w:rsidR="00931130">
        <w:t>Emergency and Remedial Response Plan</w:t>
      </w:r>
      <w:r w:rsidR="005D4A39">
        <w:t xml:space="preserve"> of this permit.)</w:t>
      </w:r>
      <w:r w:rsidR="00627B89">
        <w:t xml:space="preserve"> </w:t>
      </w:r>
      <w:r w:rsidR="0092083B">
        <w:rPr>
          <w:i/>
          <w:iCs/>
          <w:color w:val="2E70B9"/>
        </w:rPr>
        <w:t>[</w:t>
      </w:r>
      <w:r w:rsidR="00C920E7" w:rsidRPr="008141C8">
        <w:rPr>
          <w:i/>
          <w:iCs/>
          <w:color w:val="0070C0"/>
        </w:rPr>
        <w:t xml:space="preserve">Modify </w:t>
      </w:r>
      <w:r w:rsidR="00E8300A" w:rsidRPr="008141C8">
        <w:rPr>
          <w:i/>
          <w:iCs/>
          <w:color w:val="0070C0"/>
        </w:rPr>
        <w:t xml:space="preserve">or add to </w:t>
      </w:r>
      <w:r w:rsidR="005D3FAC" w:rsidRPr="008141C8">
        <w:rPr>
          <w:i/>
          <w:iCs/>
          <w:color w:val="0070C0"/>
        </w:rPr>
        <w:t xml:space="preserve">this </w:t>
      </w:r>
      <w:r w:rsidR="0002450D" w:rsidRPr="008141C8">
        <w:rPr>
          <w:i/>
          <w:iCs/>
          <w:color w:val="0070C0"/>
        </w:rPr>
        <w:t>paragraph</w:t>
      </w:r>
      <w:r w:rsidR="005D3FAC" w:rsidRPr="008141C8">
        <w:rPr>
          <w:i/>
          <w:iCs/>
          <w:color w:val="0070C0"/>
        </w:rPr>
        <w:t xml:space="preserve"> as needed to describe any project-specific considerations.</w:t>
      </w:r>
      <w:r w:rsidR="0092083B">
        <w:rPr>
          <w:i/>
          <w:iCs/>
          <w:color w:val="0070C0"/>
        </w:rPr>
        <w:t>]</w:t>
      </w:r>
    </w:p>
    <w:p w14:paraId="6FD80A94" w14:textId="0D41E7B5" w:rsidR="00B855B8" w:rsidRDefault="00992BFC" w:rsidP="0002450D">
      <w:pPr>
        <w:pStyle w:val="Heading1"/>
      </w:pPr>
      <w:r>
        <w:t xml:space="preserve">Table 2. </w:t>
      </w:r>
      <w:r w:rsidR="00B855B8">
        <w:t xml:space="preserve">Class VI Injection Well </w:t>
      </w:r>
      <w:r w:rsidR="00B855B8" w:rsidRPr="002A361A">
        <w:t xml:space="preserve">Reporting </w:t>
      </w:r>
      <w:r w:rsidR="00B56D52">
        <w:t>Requirements</w:t>
      </w:r>
    </w:p>
    <w:tbl>
      <w:tblPr>
        <w:tblStyle w:val="TableGridLight"/>
        <w:tblW w:w="9360" w:type="dxa"/>
        <w:tblLook w:val="04A0" w:firstRow="1" w:lastRow="0" w:firstColumn="1" w:lastColumn="0" w:noHBand="0" w:noVBand="1"/>
        <w:tblCaption w:val="Class VI Injection Well Reporting Frequencies"/>
        <w:tblDescription w:val="This table shows the Class VI injection activities and their minimum reporting frequencies."/>
      </w:tblPr>
      <w:tblGrid>
        <w:gridCol w:w="4680"/>
        <w:gridCol w:w="4680"/>
      </w:tblGrid>
      <w:tr w:rsidR="00B855B8" w:rsidRPr="0002450D" w14:paraId="6FD80A97" w14:textId="77777777" w:rsidTr="007557BD">
        <w:trPr>
          <w:trHeight w:val="32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95" w14:textId="77777777" w:rsidR="00B855B8" w:rsidRPr="0002450D" w:rsidRDefault="00B855B8" w:rsidP="00123BB9">
            <w:pPr>
              <w:jc w:val="center"/>
              <w:rPr>
                <w:b/>
                <w:sz w:val="20"/>
                <w:szCs w:val="20"/>
              </w:rPr>
            </w:pPr>
            <w:r w:rsidRPr="0002450D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96" w14:textId="60D3CE3D" w:rsidR="00B855B8" w:rsidRPr="0002450D" w:rsidRDefault="00B855B8" w:rsidP="00EC1CD8">
            <w:pPr>
              <w:jc w:val="center"/>
              <w:rPr>
                <w:b/>
                <w:sz w:val="20"/>
                <w:szCs w:val="20"/>
              </w:rPr>
            </w:pPr>
            <w:r w:rsidRPr="0002450D">
              <w:rPr>
                <w:b/>
                <w:sz w:val="20"/>
                <w:szCs w:val="20"/>
              </w:rPr>
              <w:t xml:space="preserve">REPORTING </w:t>
            </w:r>
            <w:r w:rsidR="0078149C">
              <w:rPr>
                <w:b/>
                <w:sz w:val="20"/>
                <w:szCs w:val="20"/>
              </w:rPr>
              <w:t>REQUIREMENTS</w:t>
            </w:r>
          </w:p>
        </w:tc>
      </w:tr>
      <w:tr w:rsidR="00B855B8" w:rsidRPr="0002450D" w14:paraId="6FD80A9A" w14:textId="77777777" w:rsidTr="007557B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98" w14:textId="77777777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CO</w:t>
            </w:r>
            <w:r w:rsidRPr="0002450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2450D">
              <w:rPr>
                <w:color w:val="000000"/>
                <w:sz w:val="20"/>
                <w:szCs w:val="20"/>
              </w:rPr>
              <w:t xml:space="preserve"> stream characterization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80A99" w14:textId="77777777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Semi-annually</w:t>
            </w:r>
          </w:p>
        </w:tc>
      </w:tr>
      <w:tr w:rsidR="00B855B8" w:rsidRPr="0002450D" w14:paraId="6FD80A9D" w14:textId="77777777" w:rsidTr="007557B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9B" w14:textId="44080557" w:rsidR="00B855B8" w:rsidRPr="0002450D" w:rsidRDefault="005D3FAC" w:rsidP="00E8300A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 xml:space="preserve">Injection pressure, injection rate, injection volume, pressure on the annulus, </w:t>
            </w:r>
            <w:r w:rsidR="00E8300A" w:rsidRPr="0002450D">
              <w:rPr>
                <w:color w:val="000000"/>
                <w:sz w:val="20"/>
                <w:szCs w:val="20"/>
              </w:rPr>
              <w:t xml:space="preserve">and </w:t>
            </w:r>
            <w:r w:rsidRPr="0002450D">
              <w:rPr>
                <w:color w:val="000000"/>
                <w:sz w:val="20"/>
                <w:szCs w:val="20"/>
              </w:rPr>
              <w:t>annulus fluid level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9C" w14:textId="77777777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Semi-annually</w:t>
            </w:r>
          </w:p>
        </w:tc>
      </w:tr>
      <w:tr w:rsidR="00B855B8" w:rsidRPr="0002450D" w14:paraId="6FD80AA0" w14:textId="77777777" w:rsidTr="007557B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9E" w14:textId="77777777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Corrosion monitoring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9F" w14:textId="77777777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Semi-annually</w:t>
            </w:r>
          </w:p>
        </w:tc>
      </w:tr>
      <w:tr w:rsidR="00B855B8" w:rsidRPr="0002450D" w14:paraId="6FD80AA3" w14:textId="77777777" w:rsidTr="007557B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A1" w14:textId="08D9E926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External MIT</w:t>
            </w:r>
            <w:r w:rsidR="005D3FAC" w:rsidRPr="0002450D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A2" w14:textId="77777777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Within 30 days of completion of test</w:t>
            </w:r>
          </w:p>
        </w:tc>
      </w:tr>
      <w:tr w:rsidR="00B855B8" w:rsidRPr="0002450D" w14:paraId="6FD80AA6" w14:textId="77777777" w:rsidTr="007557B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A4" w14:textId="77777777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 xml:space="preserve">Pressure fall-off testing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A5" w14:textId="77777777" w:rsidR="00B855B8" w:rsidRPr="0002450D" w:rsidRDefault="00B855B8" w:rsidP="00EC1CD8">
            <w:pPr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In the next semi-annual report</w:t>
            </w:r>
          </w:p>
        </w:tc>
      </w:tr>
    </w:tbl>
    <w:p w14:paraId="6FD80AA7" w14:textId="1DF1BD74" w:rsidR="00B855B8" w:rsidRPr="0002450D" w:rsidRDefault="00B855B8" w:rsidP="0002450D">
      <w:pPr>
        <w:spacing w:before="60"/>
        <w:rPr>
          <w:sz w:val="20"/>
          <w:szCs w:val="20"/>
        </w:rPr>
      </w:pPr>
      <w:r w:rsidRPr="0002450D">
        <w:rPr>
          <w:sz w:val="20"/>
          <w:szCs w:val="20"/>
        </w:rPr>
        <w:t xml:space="preserve">Note: All testing and monitoring frequencies and methodologies are included in </w:t>
      </w:r>
      <w:r w:rsidR="00F468B4">
        <w:rPr>
          <w:sz w:val="20"/>
          <w:szCs w:val="20"/>
        </w:rPr>
        <w:t>the</w:t>
      </w:r>
      <w:r w:rsidRPr="0002450D">
        <w:rPr>
          <w:sz w:val="20"/>
          <w:szCs w:val="20"/>
        </w:rPr>
        <w:t xml:space="preserve"> Testing and Monitoring Plan of this permit.  </w:t>
      </w:r>
    </w:p>
    <w:p w14:paraId="6FD80AAB" w14:textId="231A2BDF" w:rsidR="00B855B8" w:rsidRDefault="00992BFC" w:rsidP="000B6A4E">
      <w:pPr>
        <w:pStyle w:val="Heading1"/>
        <w:keepNext/>
        <w:keepLines/>
      </w:pPr>
      <w:r>
        <w:t xml:space="preserve">Table 3. </w:t>
      </w:r>
      <w:r w:rsidR="00B855B8">
        <w:t xml:space="preserve">Class VI Project Reporting </w:t>
      </w:r>
      <w:r w:rsidR="00B56D52">
        <w:t>Requirements</w:t>
      </w:r>
    </w:p>
    <w:p w14:paraId="2385CD6E" w14:textId="0C33C272" w:rsidR="00D421A7" w:rsidRPr="008141C8" w:rsidRDefault="0092083B" w:rsidP="000B6A4E">
      <w:pPr>
        <w:keepNext/>
        <w:keepLines/>
        <w:spacing w:after="60"/>
        <w:rPr>
          <w:i/>
          <w:iCs/>
        </w:rPr>
      </w:pPr>
      <w:r>
        <w:rPr>
          <w:i/>
          <w:iCs/>
          <w:color w:val="0070C0"/>
          <w:szCs w:val="22"/>
        </w:rPr>
        <w:t>[</w:t>
      </w:r>
      <w:r w:rsidR="00D421A7" w:rsidRPr="008141C8">
        <w:rPr>
          <w:i/>
          <w:iCs/>
          <w:color w:val="0070C0"/>
        </w:rPr>
        <w:t xml:space="preserve">Include rows for additional </w:t>
      </w:r>
      <w:r w:rsidR="00DE6463" w:rsidRPr="008141C8">
        <w:rPr>
          <w:i/>
          <w:iCs/>
          <w:color w:val="0070C0"/>
        </w:rPr>
        <w:t>activities</w:t>
      </w:r>
      <w:r w:rsidR="00D421A7" w:rsidRPr="008141C8">
        <w:rPr>
          <w:i/>
          <w:iCs/>
          <w:color w:val="0070C0"/>
        </w:rPr>
        <w:t xml:space="preserve"> (e.g., surface air and/or soil gas monitoring) as appropriate.</w:t>
      </w:r>
      <w:r>
        <w:rPr>
          <w:i/>
          <w:iCs/>
          <w:color w:val="0070C0"/>
        </w:rPr>
        <w:t>]</w:t>
      </w:r>
    </w:p>
    <w:tbl>
      <w:tblPr>
        <w:tblStyle w:val="TableGridLight"/>
        <w:tblW w:w="9540" w:type="dxa"/>
        <w:tblLook w:val="04A0" w:firstRow="1" w:lastRow="0" w:firstColumn="1" w:lastColumn="0" w:noHBand="0" w:noVBand="1"/>
        <w:tblCaption w:val="Class VI Project Reporting Frequencies"/>
        <w:tblDescription w:val="This table includes the Class VI Project Reporting activities and minimum reporting frequencies."/>
      </w:tblPr>
      <w:tblGrid>
        <w:gridCol w:w="4770"/>
        <w:gridCol w:w="4770"/>
      </w:tblGrid>
      <w:tr w:rsidR="00B855B8" w:rsidRPr="0002450D" w14:paraId="6FD80AAE" w14:textId="77777777" w:rsidTr="007557BD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AC" w14:textId="77777777" w:rsidR="00B855B8" w:rsidRPr="0002450D" w:rsidRDefault="00B855B8" w:rsidP="000B6A4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02450D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AD" w14:textId="20F28F97" w:rsidR="00B855B8" w:rsidRPr="0002450D" w:rsidRDefault="00B855B8" w:rsidP="000B6A4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02450D">
              <w:rPr>
                <w:b/>
                <w:sz w:val="20"/>
                <w:szCs w:val="20"/>
              </w:rPr>
              <w:t xml:space="preserve">REPORTING </w:t>
            </w:r>
            <w:r w:rsidR="0078149C">
              <w:rPr>
                <w:b/>
                <w:sz w:val="20"/>
                <w:szCs w:val="20"/>
              </w:rPr>
              <w:t>REQUIREMENTS</w:t>
            </w:r>
          </w:p>
        </w:tc>
      </w:tr>
      <w:tr w:rsidR="00B855B8" w:rsidRPr="0002450D" w14:paraId="6FD80AB1" w14:textId="77777777" w:rsidTr="007557BD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AF" w14:textId="0E709AFE" w:rsidR="00B855B8" w:rsidRPr="0002450D" w:rsidRDefault="00B855B8" w:rsidP="000B6A4E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Groundwater quality monitoring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B0" w14:textId="77777777" w:rsidR="00B855B8" w:rsidRPr="0002450D" w:rsidRDefault="00B855B8" w:rsidP="000B6A4E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 xml:space="preserve">Semi-annually </w:t>
            </w:r>
          </w:p>
        </w:tc>
      </w:tr>
      <w:tr w:rsidR="00B855B8" w:rsidRPr="0002450D" w14:paraId="6FD80AB4" w14:textId="77777777" w:rsidTr="007557BD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B2" w14:textId="77777777" w:rsidR="00B855B8" w:rsidRPr="0002450D" w:rsidRDefault="00B855B8" w:rsidP="000B6A4E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Plume and pressure front tracking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B3" w14:textId="77777777" w:rsidR="00B855B8" w:rsidRPr="0002450D" w:rsidRDefault="00B855B8" w:rsidP="000B6A4E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In the next semi-annual report</w:t>
            </w:r>
          </w:p>
        </w:tc>
      </w:tr>
      <w:tr w:rsidR="00B855B8" w:rsidRPr="0002450D" w14:paraId="6FD80ABA" w14:textId="77777777" w:rsidTr="007557BD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B8" w14:textId="77777777" w:rsidR="00B855B8" w:rsidRPr="0002450D" w:rsidRDefault="00B855B8" w:rsidP="000B6A4E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Monitoring well MITs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B9" w14:textId="77777777" w:rsidR="00B855B8" w:rsidRPr="0002450D" w:rsidRDefault="00B855B8" w:rsidP="000B6A4E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Within 30 days of completion of test</w:t>
            </w:r>
          </w:p>
        </w:tc>
      </w:tr>
      <w:tr w:rsidR="00B855B8" w:rsidRPr="0002450D" w14:paraId="6FD80ABD" w14:textId="77777777" w:rsidTr="007557BD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0ABB" w14:textId="4153E6F6" w:rsidR="00B855B8" w:rsidRPr="0002450D" w:rsidRDefault="005D3FAC" w:rsidP="000B6A4E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Financial r</w:t>
            </w:r>
            <w:r w:rsidR="00B855B8" w:rsidRPr="0002450D">
              <w:rPr>
                <w:color w:val="000000"/>
                <w:sz w:val="20"/>
                <w:szCs w:val="20"/>
              </w:rPr>
              <w:t>esponsibility updates pursuant to H.2 and H.3(a) of this permit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ABC" w14:textId="77777777" w:rsidR="00B855B8" w:rsidRPr="0002450D" w:rsidRDefault="00B855B8" w:rsidP="000B6A4E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02450D">
              <w:rPr>
                <w:color w:val="000000"/>
                <w:sz w:val="20"/>
                <w:szCs w:val="20"/>
              </w:rPr>
              <w:t>Within 60 days of update</w:t>
            </w:r>
          </w:p>
        </w:tc>
      </w:tr>
    </w:tbl>
    <w:p w14:paraId="6FD80ABE" w14:textId="6C441106" w:rsidR="00B855B8" w:rsidRPr="0002450D" w:rsidRDefault="00B855B8" w:rsidP="000B6A4E">
      <w:pPr>
        <w:keepNext/>
        <w:keepLines/>
        <w:spacing w:before="60"/>
        <w:rPr>
          <w:sz w:val="20"/>
          <w:szCs w:val="20"/>
        </w:rPr>
      </w:pPr>
      <w:r w:rsidRPr="0002450D">
        <w:rPr>
          <w:sz w:val="20"/>
          <w:szCs w:val="20"/>
        </w:rPr>
        <w:t>Note: All testing and monitoring frequencies and methodologies are included in the Testing and Monitoring Plan of this permit.</w:t>
      </w:r>
    </w:p>
    <w:p w14:paraId="6FD80AC2" w14:textId="61BE5623" w:rsidR="00B855B8" w:rsidRPr="006C7E84" w:rsidRDefault="0092083B" w:rsidP="006C7E84">
      <w:pPr>
        <w:keepNext/>
        <w:keepLines/>
        <w:spacing w:before="200" w:after="200"/>
        <w:rPr>
          <w:i/>
          <w:iCs/>
          <w:color w:val="0070C0"/>
        </w:rPr>
      </w:pPr>
      <w:r>
        <w:rPr>
          <w:i/>
          <w:iCs/>
          <w:color w:val="0070C0"/>
          <w:szCs w:val="22"/>
        </w:rPr>
        <w:t>[</w:t>
      </w:r>
      <w:r w:rsidR="00D421A7" w:rsidRPr="008141C8">
        <w:rPr>
          <w:i/>
          <w:iCs/>
          <w:color w:val="0070C0"/>
        </w:rPr>
        <w:t>If necessary, add sections for any other project-specific operating conditions, e.g., startup procedures.</w:t>
      </w:r>
      <w:r>
        <w:rPr>
          <w:i/>
          <w:iCs/>
          <w:color w:val="0070C0"/>
        </w:rPr>
        <w:t>]</w:t>
      </w:r>
    </w:p>
    <w:sectPr w:rsidR="00B855B8" w:rsidRPr="006C7E84" w:rsidSect="005729A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6931D" w14:textId="77777777" w:rsidR="000F30FB" w:rsidRDefault="000F30FB" w:rsidP="00320857">
      <w:r>
        <w:separator/>
      </w:r>
    </w:p>
  </w:endnote>
  <w:endnote w:type="continuationSeparator" w:id="0">
    <w:p w14:paraId="535341C9" w14:textId="77777777" w:rsidR="000F30FB" w:rsidRDefault="000F30FB" w:rsidP="00320857">
      <w:r>
        <w:continuationSeparator/>
      </w:r>
    </w:p>
  </w:endnote>
  <w:endnote w:type="continuationNotice" w:id="1">
    <w:p w14:paraId="5373D4E7" w14:textId="77777777" w:rsidR="006B06F0" w:rsidRDefault="006B0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,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80AC7" w14:textId="51F54B2D" w:rsidR="000F30FB" w:rsidRPr="00320857" w:rsidRDefault="000F30FB" w:rsidP="00320857">
    <w:pPr>
      <w:pStyle w:val="Footer"/>
      <w:pBdr>
        <w:top w:val="single" w:sz="4" w:space="0" w:color="auto"/>
      </w:pBdr>
      <w:tabs>
        <w:tab w:val="left" w:pos="-3060"/>
      </w:tabs>
      <w:rPr>
        <w:i/>
        <w:sz w:val="20"/>
        <w:szCs w:val="20"/>
      </w:rPr>
    </w:pPr>
    <w:r w:rsidRPr="00320857">
      <w:rPr>
        <w:i/>
        <w:sz w:val="20"/>
        <w:szCs w:val="20"/>
      </w:rPr>
      <w:t xml:space="preserve">Summary of Requirements for </w:t>
    </w:r>
    <w:r w:rsidRPr="003248B4">
      <w:rPr>
        <w:i/>
        <w:sz w:val="20"/>
        <w:szCs w:val="20"/>
        <w:highlight w:val="yellow"/>
      </w:rPr>
      <w:t>FACILITY NAME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320857">
      <w:rPr>
        <w:i/>
        <w:sz w:val="20"/>
        <w:szCs w:val="20"/>
      </w:rPr>
      <w:t xml:space="preserve">Page </w:t>
    </w:r>
    <w:r w:rsidRPr="00320857">
      <w:rPr>
        <w:i/>
        <w:sz w:val="20"/>
        <w:szCs w:val="20"/>
      </w:rPr>
      <w:fldChar w:fldCharType="begin"/>
    </w:r>
    <w:r w:rsidRPr="00320857">
      <w:rPr>
        <w:i/>
        <w:sz w:val="20"/>
        <w:szCs w:val="20"/>
      </w:rPr>
      <w:instrText xml:space="preserve"> PAGE   \* MERGEFORMAT </w:instrText>
    </w:r>
    <w:r w:rsidRPr="00320857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320857">
      <w:rPr>
        <w:i/>
        <w:sz w:val="20"/>
        <w:szCs w:val="20"/>
      </w:rPr>
      <w:fldChar w:fldCharType="end"/>
    </w:r>
    <w:r w:rsidRPr="00E20951">
      <w:rPr>
        <w:i/>
        <w:sz w:val="20"/>
        <w:szCs w:val="20"/>
      </w:rPr>
      <w:t xml:space="preserve"> </w:t>
    </w:r>
    <w:r w:rsidRPr="0007355E">
      <w:rPr>
        <w:i/>
        <w:sz w:val="20"/>
        <w:szCs w:val="20"/>
      </w:rPr>
      <w:t xml:space="preserve">of </w:t>
    </w:r>
    <w:r w:rsidRPr="0007355E">
      <w:rPr>
        <w:i/>
        <w:sz w:val="20"/>
        <w:szCs w:val="20"/>
      </w:rPr>
      <w:fldChar w:fldCharType="begin"/>
    </w:r>
    <w:r w:rsidRPr="0007355E">
      <w:rPr>
        <w:i/>
        <w:sz w:val="20"/>
        <w:szCs w:val="20"/>
      </w:rPr>
      <w:instrText xml:space="preserve"> NUMPAGES  \* Arabic  \* MERGEFORMAT </w:instrText>
    </w:r>
    <w:r w:rsidRPr="0007355E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7355E">
      <w:rPr>
        <w:i/>
        <w:noProof/>
        <w:sz w:val="20"/>
        <w:szCs w:val="20"/>
      </w:rPr>
      <w:fldChar w:fldCharType="end"/>
    </w:r>
  </w:p>
  <w:p w14:paraId="6FD80AC8" w14:textId="77777777" w:rsidR="000F30FB" w:rsidRDefault="000F30FB" w:rsidP="00D50CE3">
    <w:pPr>
      <w:jc w:val="both"/>
    </w:pPr>
    <w:r w:rsidRPr="00320857">
      <w:rPr>
        <w:i/>
        <w:sz w:val="20"/>
        <w:szCs w:val="20"/>
      </w:rPr>
      <w:t xml:space="preserve">Permit Number: </w:t>
    </w:r>
    <w:r w:rsidRPr="003248B4">
      <w:rPr>
        <w:i/>
        <w:sz w:val="20"/>
        <w:szCs w:val="20"/>
        <w:highlight w:val="yellow"/>
      </w:rPr>
      <w:t>INSERT PERMIT NUMBER</w:t>
    </w:r>
    <w:r w:rsidRPr="00320857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EB8A4" w14:textId="77777777" w:rsidR="000F30FB" w:rsidRDefault="000F30FB" w:rsidP="00320857">
      <w:r>
        <w:separator/>
      </w:r>
    </w:p>
  </w:footnote>
  <w:footnote w:type="continuationSeparator" w:id="0">
    <w:p w14:paraId="1962FD22" w14:textId="77777777" w:rsidR="000F30FB" w:rsidRDefault="000F30FB" w:rsidP="00320857">
      <w:r>
        <w:continuationSeparator/>
      </w:r>
    </w:p>
  </w:footnote>
  <w:footnote w:type="continuationNotice" w:id="1">
    <w:p w14:paraId="709F3CBC" w14:textId="77777777" w:rsidR="006B06F0" w:rsidRDefault="006B06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46F8D"/>
    <w:multiLevelType w:val="hybridMultilevel"/>
    <w:tmpl w:val="6CA095EC"/>
    <w:lvl w:ilvl="0" w:tplc="DFB6C5C4">
      <w:start w:val="300"/>
      <w:numFmt w:val="decimal"/>
      <w:lvlText w:val="%1"/>
      <w:lvlJc w:val="left"/>
      <w:pPr>
        <w:ind w:left="720" w:hanging="360"/>
      </w:pPr>
      <w:rPr>
        <w:rFonts w:ascii="TimesNewRomanPSMT,Calibri" w:eastAsia="TimesNewRomanPSMT,Calibri" w:hAnsi="TimesNewRomanPSMT,Calibri" w:cs="TimesNewRomanPSMT,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73DF8"/>
    <w:multiLevelType w:val="hybridMultilevel"/>
    <w:tmpl w:val="4922EED4"/>
    <w:lvl w:ilvl="0" w:tplc="7B48DC0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74C17"/>
    <w:multiLevelType w:val="hybridMultilevel"/>
    <w:tmpl w:val="E9B4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B8"/>
    <w:rsid w:val="0000482F"/>
    <w:rsid w:val="0002450D"/>
    <w:rsid w:val="00050A99"/>
    <w:rsid w:val="00081FB2"/>
    <w:rsid w:val="000B6A4E"/>
    <w:rsid w:val="000F30FB"/>
    <w:rsid w:val="000F69FD"/>
    <w:rsid w:val="00123BB9"/>
    <w:rsid w:val="00124C66"/>
    <w:rsid w:val="00134975"/>
    <w:rsid w:val="00145203"/>
    <w:rsid w:val="00187F92"/>
    <w:rsid w:val="001A7724"/>
    <w:rsid w:val="001B4CB9"/>
    <w:rsid w:val="001C340E"/>
    <w:rsid w:val="001F2A82"/>
    <w:rsid w:val="00207B26"/>
    <w:rsid w:val="002253C3"/>
    <w:rsid w:val="00244013"/>
    <w:rsid w:val="00262CBB"/>
    <w:rsid w:val="002B283A"/>
    <w:rsid w:val="002C570A"/>
    <w:rsid w:val="00320857"/>
    <w:rsid w:val="003248B4"/>
    <w:rsid w:val="00335E8E"/>
    <w:rsid w:val="003930FB"/>
    <w:rsid w:val="003A5022"/>
    <w:rsid w:val="003C25B8"/>
    <w:rsid w:val="00440D46"/>
    <w:rsid w:val="0044450F"/>
    <w:rsid w:val="00447B01"/>
    <w:rsid w:val="0045614F"/>
    <w:rsid w:val="004719D1"/>
    <w:rsid w:val="00487F1F"/>
    <w:rsid w:val="004955CF"/>
    <w:rsid w:val="004C2C77"/>
    <w:rsid w:val="004E1C40"/>
    <w:rsid w:val="005729A6"/>
    <w:rsid w:val="0058153C"/>
    <w:rsid w:val="005C4730"/>
    <w:rsid w:val="005C63F2"/>
    <w:rsid w:val="005D1C35"/>
    <w:rsid w:val="005D3FAC"/>
    <w:rsid w:val="005D4A39"/>
    <w:rsid w:val="005F335E"/>
    <w:rsid w:val="005F63A4"/>
    <w:rsid w:val="00603ACD"/>
    <w:rsid w:val="00616F20"/>
    <w:rsid w:val="006172FC"/>
    <w:rsid w:val="00627B89"/>
    <w:rsid w:val="00653789"/>
    <w:rsid w:val="006B06F0"/>
    <w:rsid w:val="006C6271"/>
    <w:rsid w:val="006C7E84"/>
    <w:rsid w:val="006D1FAB"/>
    <w:rsid w:val="007557BD"/>
    <w:rsid w:val="00764D7F"/>
    <w:rsid w:val="0078149C"/>
    <w:rsid w:val="007B6ED0"/>
    <w:rsid w:val="00812809"/>
    <w:rsid w:val="00813391"/>
    <w:rsid w:val="008141C8"/>
    <w:rsid w:val="008273CB"/>
    <w:rsid w:val="0083451A"/>
    <w:rsid w:val="008370A9"/>
    <w:rsid w:val="008434B8"/>
    <w:rsid w:val="008626C9"/>
    <w:rsid w:val="008E3854"/>
    <w:rsid w:val="0092083B"/>
    <w:rsid w:val="00931130"/>
    <w:rsid w:val="00952396"/>
    <w:rsid w:val="009732B6"/>
    <w:rsid w:val="00992BFC"/>
    <w:rsid w:val="009A6F55"/>
    <w:rsid w:val="00A26FAC"/>
    <w:rsid w:val="00A33BC4"/>
    <w:rsid w:val="00AA69C9"/>
    <w:rsid w:val="00B10B38"/>
    <w:rsid w:val="00B56D52"/>
    <w:rsid w:val="00B6380A"/>
    <w:rsid w:val="00B807E2"/>
    <w:rsid w:val="00B855B8"/>
    <w:rsid w:val="00C22301"/>
    <w:rsid w:val="00C2241D"/>
    <w:rsid w:val="00C67553"/>
    <w:rsid w:val="00C760EB"/>
    <w:rsid w:val="00C920E7"/>
    <w:rsid w:val="00CC0271"/>
    <w:rsid w:val="00CF0FA8"/>
    <w:rsid w:val="00D421A7"/>
    <w:rsid w:val="00D421B0"/>
    <w:rsid w:val="00D50CE3"/>
    <w:rsid w:val="00DE6463"/>
    <w:rsid w:val="00E1621E"/>
    <w:rsid w:val="00E20951"/>
    <w:rsid w:val="00E3762B"/>
    <w:rsid w:val="00E46483"/>
    <w:rsid w:val="00E723B3"/>
    <w:rsid w:val="00E8300A"/>
    <w:rsid w:val="00E92F53"/>
    <w:rsid w:val="00EB1906"/>
    <w:rsid w:val="00EC1CD8"/>
    <w:rsid w:val="00F15F12"/>
    <w:rsid w:val="00F468B4"/>
    <w:rsid w:val="00F64717"/>
    <w:rsid w:val="00F67B76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0A6B"/>
  <w15:docId w15:val="{90A042ED-BF9C-426A-83FC-FB1C1809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50D"/>
    <w:pPr>
      <w:spacing w:before="360" w:after="200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627B89"/>
    <w:pPr>
      <w:keepNext/>
      <w:numPr>
        <w:numId w:val="2"/>
      </w:numPr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CE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8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8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54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27B89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4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styleId="TableGridLight">
    <w:name w:val="Grid Table Light"/>
    <w:basedOn w:val="TableNormal"/>
    <w:uiPriority w:val="40"/>
    <w:rsid w:val="007557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1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pa.gov/uic/class-vi-guidance-docu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26FCA8A496A46B9F472258EBEC79B" ma:contentTypeVersion="9" ma:contentTypeDescription="Create a new document." ma:contentTypeScope="" ma:versionID="4fe0ee54a5ee21608eca2373ec9761e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73152aef-b862-4840-8946-cfbcf29e4db9" xmlns:ns6="fc64e686-4460-40d0-908e-a0d0679438fb" targetNamespace="http://schemas.microsoft.com/office/2006/metadata/properties" ma:root="true" ma:fieldsID="2f7ad0dca5b63c34772eeedcd04127b0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73152aef-b862-4840-8946-cfbcf29e4db9"/>
    <xsd:import namespace="fc64e686-4460-40d0-908e-a0d0679438f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d8a97dd-5c57-4eac-b3c4-c21c8c0ef870}" ma:internalName="TaxCatchAllLabel" ma:readOnly="true" ma:showField="CatchAllDataLabel" ma:web="fc64e686-4460-40d0-908e-a0d06794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d8a97dd-5c57-4eac-b3c4-c21c8c0ef870}" ma:internalName="TaxCatchAll" ma:showField="CatchAllData" ma:web="fc64e686-4460-40d0-908e-a0d06794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52aef-b862-4840-8946-cfbcf29e4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e686-4460-40d0-908e-a0d06794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Operating and Reporting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Injection Well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Class VI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condition</TermName>
          <TermId xmlns="http://schemas.microsoft.com/office/infopath/2007/PartnerControls">00000000-0000-0000-0000-000000000000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2021-01-29T18:56:14+00:00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SharedWithUsers xmlns="fc64e686-4460-40d0-908e-a0d0679438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6D77FF-9A83-4ECC-BE03-3E237D8D3FB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4C5ADFF-6E62-4586-90FA-70C2E8206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48D0B-5A53-8A41-A552-70D8686E5D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C94DD-4772-41ED-8083-C4E7E1DAF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73152aef-b862-4840-8946-cfbcf29e4db9"/>
    <ds:schemaRef ds:uri="fc64e686-4460-40d0-908e-a0d06794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3C301D-4788-4FF0-8129-37F59DDDD651}">
  <ds:schemaRefs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c64e686-4460-40d0-908e-a0d0679438fb"/>
    <ds:schemaRef ds:uri="73152aef-b862-4840-8946-cfbcf29e4db9"/>
    <ds:schemaRef ds:uri="http://schemas.microsoft.com/office/2006/documentManagement/types"/>
    <ds:schemaRef ds:uri="http://schemas.microsoft.com/sharepoint.v3"/>
    <ds:schemaRef ds:uri="http://schemas.microsoft.com/sharepoint/v3/fields"/>
    <ds:schemaRef ds:uri="4ffa91fb-a0ff-4ac5-b2db-65c790d184a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A: Summary Requirements Class VI Operating and Reporting Conditions</vt:lpstr>
    </vt:vector>
  </TitlesOfParts>
  <Manager/>
  <Company>US EPA; OW; Office of Ground Water and Drinking Water</Company>
  <LinksUpToDate>false</LinksUpToDate>
  <CharactersWithSpaces>3899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Summary Requirements Class VI Operating and Reporting Conditions</dc:title>
  <dc:subject>Class VI Operating and Reporting Conditions</dc:subject>
  <dc:creator>U.S. EPA; OW; Office of Ground Water and Drinking Water</dc:creator>
  <cp:keywords>Class VI, Operating and Reporting, Injection Well, Condition</cp:keywords>
  <dc:description/>
  <cp:revision>16</cp:revision>
  <cp:lastPrinted>2017-06-01T11:54:00Z</cp:lastPrinted>
  <dcterms:created xsi:type="dcterms:W3CDTF">2019-04-25T17:31:00Z</dcterms:created>
  <dcterms:modified xsi:type="dcterms:W3CDTF">2022-02-04T19:46:00Z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97;#Operating and Reporting|02b7ab54-b16b-450d-ab26-54fb6acc1218;#96;#Injection Well|fb3d74f7-e6b2-471e-8b4a-c0db2e62344c;#87;#Class VI|05a4328c-a893-46af-a225-108695ca34bf;#98;#condition|b0ad2015-bce2-404e-8551-677d3590811f</vt:lpwstr>
  </property>
  <property fmtid="{D5CDD505-2E9C-101B-9397-08002B2CF9AE}" pid="3" name="Locations">
    <vt:lpwstr/>
  </property>
  <property fmtid="{D5CDD505-2E9C-101B-9397-08002B2CF9AE}" pid="4" name="ContractDivisions">
    <vt:lpwstr/>
  </property>
  <property fmtid="{D5CDD505-2E9C-101B-9397-08002B2CF9AE}" pid="5" name="ContentTypeId">
    <vt:lpwstr>0x0101006D926FCA8A496A46B9F472258EBEC79B</vt:lpwstr>
  </property>
  <property fmtid="{D5CDD505-2E9C-101B-9397-08002B2CF9AE}" pid="6" name="ContractClients">
    <vt:lpwstr/>
  </property>
  <property fmtid="{D5CDD505-2E9C-101B-9397-08002B2CF9AE}" pid="7" name="AreaOfExpertise">
    <vt:lpwstr/>
  </property>
  <property fmtid="{D5CDD505-2E9C-101B-9397-08002B2CF9AE}" pid="8" name="ProjectLocations">
    <vt:lpwstr/>
  </property>
  <property fmtid="{D5CDD505-2E9C-101B-9397-08002B2CF9AE}" pid="9" name="ServiceSectors">
    <vt:lpwstr/>
  </property>
  <property fmtid="{D5CDD505-2E9C-101B-9397-08002B2CF9AE}" pid="10" name="ProjectSubjectAreas">
    <vt:lpwstr/>
  </property>
  <property fmtid="{D5CDD505-2E9C-101B-9397-08002B2CF9AE}" pid="11" name="WorkType">
    <vt:lpwstr/>
  </property>
  <property fmtid="{D5CDD505-2E9C-101B-9397-08002B2CF9AE}" pid="12" name="ProjectServiceSectors">
    <vt:lpwstr/>
  </property>
  <property fmtid="{D5CDD505-2E9C-101B-9397-08002B2CF9AE}" pid="13" name="ProjectClients">
    <vt:lpwstr/>
  </property>
  <property fmtid="{D5CDD505-2E9C-101B-9397-08002B2CF9AE}" pid="14" name="_docset_NoMedatataSyncRequired">
    <vt:lpwstr>False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e3f09c3df709400db2417a7161762d62">
    <vt:lpwstr/>
  </property>
  <property fmtid="{D5CDD505-2E9C-101B-9397-08002B2CF9AE}" pid="19" name="EPA Subject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Document Type">
    <vt:lpwstr/>
  </property>
  <property fmtid="{D5CDD505-2E9C-101B-9397-08002B2CF9AE}" pid="23" name="xd_Signature">
    <vt:bool>false</vt:bool>
  </property>
</Properties>
</file>