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7669" w14:textId="77777777" w:rsidR="00E7422D" w:rsidRDefault="00E7422D" w:rsidP="009F0ECB">
      <w:pPr>
        <w:jc w:val="center"/>
        <w:rPr>
          <w:sz w:val="52"/>
          <w:szCs w:val="52"/>
        </w:rPr>
      </w:pPr>
    </w:p>
    <w:p w14:paraId="568AABE2" w14:textId="77777777" w:rsidR="00E7422D" w:rsidRDefault="00E7422D" w:rsidP="009F0ECB">
      <w:pPr>
        <w:jc w:val="center"/>
        <w:rPr>
          <w:sz w:val="52"/>
          <w:szCs w:val="52"/>
        </w:rPr>
      </w:pPr>
    </w:p>
    <w:p w14:paraId="56D3BAC9" w14:textId="77777777" w:rsidR="00E7422D" w:rsidRDefault="00E7422D" w:rsidP="009F0ECB">
      <w:pPr>
        <w:jc w:val="center"/>
        <w:rPr>
          <w:sz w:val="52"/>
          <w:szCs w:val="52"/>
        </w:rPr>
      </w:pPr>
    </w:p>
    <w:p w14:paraId="3328FC23" w14:textId="20F0F42A" w:rsidR="00F736ED" w:rsidRPr="009F0ECB" w:rsidRDefault="000D4826" w:rsidP="009F0ECB">
      <w:pPr>
        <w:jc w:val="center"/>
        <w:rPr>
          <w:sz w:val="52"/>
          <w:szCs w:val="52"/>
        </w:rPr>
      </w:pPr>
      <w:r>
        <w:rPr>
          <w:sz w:val="52"/>
          <w:szCs w:val="52"/>
        </w:rPr>
        <w:t xml:space="preserve">U.S. </w:t>
      </w:r>
      <w:r w:rsidR="00F736ED" w:rsidRPr="009F0ECB">
        <w:rPr>
          <w:sz w:val="52"/>
          <w:szCs w:val="52"/>
        </w:rPr>
        <w:t>Environmental Protection Agency</w:t>
      </w:r>
    </w:p>
    <w:p w14:paraId="3328FC24" w14:textId="5C9D3C0D" w:rsidR="00F736ED" w:rsidRPr="009F0ECB" w:rsidRDefault="00F736ED" w:rsidP="009F0ECB">
      <w:pPr>
        <w:jc w:val="center"/>
        <w:rPr>
          <w:sz w:val="52"/>
          <w:szCs w:val="52"/>
        </w:rPr>
      </w:pPr>
      <w:r w:rsidRPr="009F0ECB">
        <w:rPr>
          <w:sz w:val="52"/>
          <w:szCs w:val="52"/>
        </w:rPr>
        <w:t xml:space="preserve">FY </w:t>
      </w:r>
      <w:r w:rsidR="006C5CEE">
        <w:rPr>
          <w:sz w:val="52"/>
          <w:szCs w:val="52"/>
        </w:rPr>
        <w:t>2021</w:t>
      </w:r>
      <w:r w:rsidRPr="009F0ECB">
        <w:rPr>
          <w:sz w:val="52"/>
          <w:szCs w:val="52"/>
        </w:rPr>
        <w:t xml:space="preserve"> Service Contract Inventory Analysis Plan</w:t>
      </w:r>
    </w:p>
    <w:p w14:paraId="3328FC25" w14:textId="77777777" w:rsidR="009F0ECB" w:rsidRDefault="009F0ECB" w:rsidP="00B42A68">
      <w:pPr>
        <w:rPr>
          <w:sz w:val="36"/>
          <w:szCs w:val="32"/>
        </w:rPr>
      </w:pPr>
    </w:p>
    <w:p w14:paraId="3328FC26" w14:textId="77777777" w:rsidR="009F0ECB" w:rsidRDefault="009F0ECB" w:rsidP="00B42A68">
      <w:pPr>
        <w:rPr>
          <w:sz w:val="36"/>
          <w:szCs w:val="32"/>
        </w:rPr>
      </w:pPr>
    </w:p>
    <w:p w14:paraId="3328FC27" w14:textId="77777777" w:rsidR="009F0ECB" w:rsidRDefault="009F0ECB" w:rsidP="00B42A68">
      <w:pPr>
        <w:rPr>
          <w:sz w:val="36"/>
          <w:szCs w:val="32"/>
        </w:rPr>
      </w:pPr>
    </w:p>
    <w:p w14:paraId="3328FC28" w14:textId="77777777" w:rsidR="009F0ECB" w:rsidRDefault="009F0ECB" w:rsidP="00B42A68">
      <w:pPr>
        <w:rPr>
          <w:sz w:val="36"/>
          <w:szCs w:val="32"/>
        </w:rPr>
      </w:pPr>
    </w:p>
    <w:p w14:paraId="3328FC29" w14:textId="77777777" w:rsidR="00F736ED" w:rsidRPr="009F0ECB" w:rsidRDefault="0047351B" w:rsidP="009F0ECB">
      <w:pPr>
        <w:jc w:val="center"/>
        <w:rPr>
          <w:sz w:val="36"/>
          <w:szCs w:val="36"/>
        </w:rPr>
      </w:pPr>
      <w:r>
        <w:rPr>
          <w:sz w:val="36"/>
          <w:szCs w:val="36"/>
        </w:rPr>
        <w:t xml:space="preserve">U. S. </w:t>
      </w:r>
      <w:r w:rsidR="00F736ED" w:rsidRPr="009F0ECB">
        <w:rPr>
          <w:sz w:val="36"/>
          <w:szCs w:val="36"/>
        </w:rPr>
        <w:t>Environmental Protection Agency</w:t>
      </w:r>
    </w:p>
    <w:p w14:paraId="3328FC2A" w14:textId="70AAE59D" w:rsidR="00F736ED" w:rsidRPr="009F0ECB" w:rsidRDefault="005B7E2C" w:rsidP="009F0ECB">
      <w:pPr>
        <w:jc w:val="center"/>
        <w:rPr>
          <w:sz w:val="36"/>
          <w:szCs w:val="36"/>
        </w:rPr>
      </w:pPr>
      <w:r>
        <w:rPr>
          <w:sz w:val="36"/>
          <w:szCs w:val="36"/>
        </w:rPr>
        <w:t>Office of Acquisition Solutions</w:t>
      </w:r>
    </w:p>
    <w:p w14:paraId="3328FC2B" w14:textId="77777777" w:rsidR="00F736ED" w:rsidRPr="009F0ECB" w:rsidRDefault="00F736ED" w:rsidP="009F0ECB">
      <w:pPr>
        <w:jc w:val="center"/>
        <w:rPr>
          <w:sz w:val="36"/>
          <w:szCs w:val="36"/>
        </w:rPr>
      </w:pPr>
    </w:p>
    <w:p w14:paraId="3328FC2C" w14:textId="77777777" w:rsidR="00F736ED" w:rsidRPr="009F0ECB" w:rsidRDefault="00F736ED" w:rsidP="009F0ECB">
      <w:pPr>
        <w:jc w:val="center"/>
        <w:rPr>
          <w:sz w:val="36"/>
          <w:szCs w:val="36"/>
        </w:rPr>
      </w:pPr>
    </w:p>
    <w:p w14:paraId="3328FC2D" w14:textId="77777777" w:rsidR="00F736ED" w:rsidRPr="009F0ECB" w:rsidRDefault="00F736ED" w:rsidP="009F0ECB">
      <w:pPr>
        <w:jc w:val="center"/>
        <w:rPr>
          <w:sz w:val="36"/>
          <w:szCs w:val="36"/>
        </w:rPr>
      </w:pPr>
    </w:p>
    <w:p w14:paraId="3328FC2E" w14:textId="091E5F22" w:rsidR="00F736ED" w:rsidRPr="009F0ECB" w:rsidRDefault="006C5CEE" w:rsidP="009F0ECB">
      <w:pPr>
        <w:jc w:val="center"/>
        <w:rPr>
          <w:sz w:val="36"/>
          <w:szCs w:val="36"/>
        </w:rPr>
      </w:pPr>
      <w:r>
        <w:rPr>
          <w:sz w:val="36"/>
          <w:szCs w:val="36"/>
        </w:rPr>
        <w:t>February</w:t>
      </w:r>
      <w:r w:rsidR="000E4A37">
        <w:rPr>
          <w:sz w:val="36"/>
          <w:szCs w:val="36"/>
        </w:rPr>
        <w:t xml:space="preserve"> </w:t>
      </w:r>
      <w:r w:rsidR="007C2AAC">
        <w:rPr>
          <w:sz w:val="36"/>
          <w:szCs w:val="36"/>
        </w:rPr>
        <w:t>2</w:t>
      </w:r>
      <w:r>
        <w:rPr>
          <w:sz w:val="36"/>
          <w:szCs w:val="36"/>
        </w:rPr>
        <w:t>2</w:t>
      </w:r>
      <w:r w:rsidR="000E4A37">
        <w:rPr>
          <w:sz w:val="36"/>
          <w:szCs w:val="36"/>
        </w:rPr>
        <w:t>,</w:t>
      </w:r>
      <w:r w:rsidR="00F736ED" w:rsidRPr="009F0ECB">
        <w:rPr>
          <w:sz w:val="36"/>
          <w:szCs w:val="36"/>
        </w:rPr>
        <w:t xml:space="preserve"> 20</w:t>
      </w:r>
      <w:r w:rsidR="007C2AAC">
        <w:rPr>
          <w:sz w:val="36"/>
          <w:szCs w:val="36"/>
        </w:rPr>
        <w:t>2</w:t>
      </w:r>
      <w:r>
        <w:rPr>
          <w:sz w:val="36"/>
          <w:szCs w:val="36"/>
        </w:rPr>
        <w:t>2</w:t>
      </w:r>
    </w:p>
    <w:p w14:paraId="3328FC2F" w14:textId="77777777" w:rsidR="00F736ED" w:rsidRPr="009F0ECB" w:rsidRDefault="00F736ED" w:rsidP="00F736ED">
      <w:pPr>
        <w:pStyle w:val="Subtitle"/>
        <w:rPr>
          <w:rFonts w:ascii="Times New Roman" w:hAnsi="Times New Roman" w:cs="Times New Roman"/>
          <w:sz w:val="36"/>
          <w:szCs w:val="36"/>
        </w:rPr>
      </w:pPr>
    </w:p>
    <w:p w14:paraId="3328FC30" w14:textId="77777777" w:rsidR="00F736ED" w:rsidRPr="00B42A68" w:rsidRDefault="00F736ED" w:rsidP="00F736ED">
      <w:pPr>
        <w:pStyle w:val="Subtitle"/>
        <w:jc w:val="center"/>
        <w:rPr>
          <w:rFonts w:ascii="Times New Roman" w:hAnsi="Times New Roman" w:cs="Times New Roman"/>
          <w:sz w:val="28"/>
          <w:szCs w:val="28"/>
        </w:rPr>
      </w:pPr>
    </w:p>
    <w:p w14:paraId="3328FC31" w14:textId="77777777" w:rsidR="00F736ED" w:rsidRPr="00B42A68" w:rsidRDefault="00F736ED" w:rsidP="00F736ED">
      <w:pPr>
        <w:pStyle w:val="Subtitle"/>
        <w:rPr>
          <w:rFonts w:ascii="Times New Roman" w:hAnsi="Times New Roman" w:cs="Times New Roman"/>
          <w:sz w:val="28"/>
          <w:szCs w:val="28"/>
        </w:rPr>
      </w:pPr>
    </w:p>
    <w:p w14:paraId="3328FC32" w14:textId="2368ED4C" w:rsidR="00F736ED" w:rsidRPr="00B42A68" w:rsidRDefault="007519A6" w:rsidP="00F736ED">
      <w:pPr>
        <w:spacing w:after="200" w:line="276" w:lineRule="auto"/>
        <w:jc w:val="center"/>
        <w:rPr>
          <w:sz w:val="48"/>
          <w:szCs w:val="20"/>
        </w:rPr>
      </w:pPr>
      <w:r w:rsidRPr="00B42A68">
        <w:object w:dxaOrig="2625" w:dyaOrig="2625" w14:anchorId="3328F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PA Logo" style="width:145.9pt;height:145.9pt" o:ole="">
            <v:imagedata r:id="rId8" o:title=""/>
          </v:shape>
          <o:OLEObject Type="Embed" ProgID="MSPhotoEd.3" ShapeID="_x0000_i1025" DrawAspect="Content" ObjectID="_1723446212" r:id="rId9"/>
        </w:object>
      </w:r>
    </w:p>
    <w:p w14:paraId="3328FC33" w14:textId="77777777" w:rsidR="001952EF" w:rsidRDefault="001952EF" w:rsidP="00F736ED">
      <w:pPr>
        <w:pStyle w:val="Contents"/>
        <w:jc w:val="center"/>
        <w:rPr>
          <w:rFonts w:ascii="Times New Roman" w:hAnsi="Times New Roman" w:cs="Times New Roman"/>
        </w:rPr>
        <w:sectPr w:rsidR="001952EF" w:rsidSect="001952EF">
          <w:footerReference w:type="default" r:id="rId10"/>
          <w:pgSz w:w="12240" w:h="15840"/>
          <w:pgMar w:top="1440" w:right="1440" w:bottom="1440" w:left="1440" w:header="720" w:footer="720" w:gutter="0"/>
          <w:pgNumType w:start="1"/>
          <w:cols w:space="720"/>
          <w:titlePg/>
          <w:docGrid w:linePitch="360"/>
        </w:sectPr>
      </w:pPr>
    </w:p>
    <w:p w14:paraId="3328FC34" w14:textId="77777777" w:rsidR="00F736ED" w:rsidRPr="00B42A68" w:rsidRDefault="00F736ED" w:rsidP="00F736ED"/>
    <w:p w14:paraId="3328FC35" w14:textId="77777777" w:rsidR="00F736ED" w:rsidRPr="00B42A68" w:rsidRDefault="0040430F" w:rsidP="00F736ED">
      <w:pPr>
        <w:pStyle w:val="BodyText"/>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U. S. </w:t>
      </w:r>
      <w:r w:rsidR="00F736ED" w:rsidRPr="00B42A68">
        <w:rPr>
          <w:rFonts w:ascii="Times New Roman" w:hAnsi="Times New Roman" w:cs="Times New Roman"/>
          <w:b/>
          <w:sz w:val="28"/>
          <w:szCs w:val="28"/>
        </w:rPr>
        <w:t>Environmental Protection Agency</w:t>
      </w:r>
    </w:p>
    <w:p w14:paraId="3328FC36" w14:textId="680A4D09" w:rsidR="00F736ED" w:rsidRPr="00B42A68" w:rsidRDefault="00F736ED" w:rsidP="00F736ED">
      <w:pPr>
        <w:pStyle w:val="BodyText"/>
        <w:spacing w:after="0" w:line="240" w:lineRule="auto"/>
        <w:jc w:val="center"/>
        <w:rPr>
          <w:rFonts w:ascii="Times New Roman" w:hAnsi="Times New Roman" w:cs="Times New Roman"/>
          <w:b/>
          <w:sz w:val="28"/>
          <w:szCs w:val="28"/>
        </w:rPr>
      </w:pPr>
      <w:r w:rsidRPr="00B42A68">
        <w:rPr>
          <w:rFonts w:ascii="Times New Roman" w:hAnsi="Times New Roman" w:cs="Times New Roman"/>
          <w:b/>
          <w:sz w:val="28"/>
          <w:szCs w:val="28"/>
        </w:rPr>
        <w:t xml:space="preserve">FY </w:t>
      </w:r>
      <w:r w:rsidR="006C5CEE">
        <w:rPr>
          <w:rFonts w:ascii="Times New Roman" w:hAnsi="Times New Roman" w:cs="Times New Roman"/>
          <w:b/>
          <w:sz w:val="28"/>
          <w:szCs w:val="28"/>
        </w:rPr>
        <w:t>2021</w:t>
      </w:r>
      <w:r w:rsidRPr="00B42A68">
        <w:rPr>
          <w:rFonts w:ascii="Times New Roman" w:hAnsi="Times New Roman" w:cs="Times New Roman"/>
          <w:b/>
          <w:sz w:val="28"/>
          <w:szCs w:val="28"/>
        </w:rPr>
        <w:t xml:space="preserve"> Service Contract Inventory</w:t>
      </w:r>
    </w:p>
    <w:p w14:paraId="3328FC37" w14:textId="77777777" w:rsidR="00F736ED" w:rsidRDefault="00F736ED" w:rsidP="00F736ED">
      <w:pPr>
        <w:pStyle w:val="BodyText"/>
        <w:spacing w:after="0" w:line="240" w:lineRule="auto"/>
        <w:jc w:val="center"/>
        <w:rPr>
          <w:rFonts w:ascii="Times New Roman" w:hAnsi="Times New Roman" w:cs="Times New Roman"/>
          <w:b/>
          <w:sz w:val="28"/>
          <w:szCs w:val="28"/>
        </w:rPr>
      </w:pPr>
      <w:r w:rsidRPr="00B42A68">
        <w:rPr>
          <w:rFonts w:ascii="Times New Roman" w:hAnsi="Times New Roman" w:cs="Times New Roman"/>
          <w:b/>
          <w:sz w:val="28"/>
          <w:szCs w:val="28"/>
        </w:rPr>
        <w:t>Analysis</w:t>
      </w:r>
      <w:r w:rsidR="0040430F">
        <w:rPr>
          <w:rFonts w:ascii="Times New Roman" w:hAnsi="Times New Roman" w:cs="Times New Roman"/>
          <w:b/>
          <w:sz w:val="28"/>
          <w:szCs w:val="28"/>
        </w:rPr>
        <w:t xml:space="preserve"> Plan</w:t>
      </w:r>
    </w:p>
    <w:p w14:paraId="3328FC38" w14:textId="77777777" w:rsidR="00B42A68" w:rsidRPr="00B42A68" w:rsidRDefault="00B42A68" w:rsidP="00F736ED">
      <w:pPr>
        <w:pStyle w:val="BodyText"/>
        <w:spacing w:after="0" w:line="240" w:lineRule="auto"/>
        <w:jc w:val="center"/>
        <w:rPr>
          <w:rFonts w:ascii="Times New Roman" w:hAnsi="Times New Roman" w:cs="Times New Roman"/>
          <w:b/>
          <w:sz w:val="28"/>
          <w:szCs w:val="28"/>
        </w:rPr>
      </w:pPr>
    </w:p>
    <w:p w14:paraId="3328FC39" w14:textId="0BD7BB75" w:rsidR="00F736ED" w:rsidRDefault="00F736ED" w:rsidP="00B42A68">
      <w:r w:rsidRPr="00B42A68">
        <w:t xml:space="preserve">The Environmental Protection Agency (EPA) </w:t>
      </w:r>
      <w:r w:rsidR="00972473">
        <w:t xml:space="preserve">Fiscal Year </w:t>
      </w:r>
      <w:r w:rsidR="006C5CEE">
        <w:t>2021</w:t>
      </w:r>
      <w:r w:rsidR="00B42A68" w:rsidRPr="00B42A68">
        <w:t xml:space="preserve"> analysis</w:t>
      </w:r>
      <w:r w:rsidRPr="00B42A68">
        <w:t xml:space="preserve"> will be performed in accordance with the criteria set out in Consolidated Appropriations Act, 2010, (Pub. L. No. 111-117, § 743 (2009))</w:t>
      </w:r>
      <w:r w:rsidR="008E7C2C">
        <w:t>,</w:t>
      </w:r>
      <w:r w:rsidRPr="00B42A68">
        <w:t xml:space="preserve"> Appendix D of the November 5, </w:t>
      </w:r>
      <w:r w:rsidR="00FE2544" w:rsidRPr="00B42A68">
        <w:t>2010,</w:t>
      </w:r>
      <w:r w:rsidRPr="00B42A68">
        <w:t xml:space="preserve"> OMB Memorandum on Service Contract Inventories</w:t>
      </w:r>
      <w:r w:rsidR="00B42A68">
        <w:t xml:space="preserve">, </w:t>
      </w:r>
      <w:r w:rsidR="00B14BD0">
        <w:t xml:space="preserve">and </w:t>
      </w:r>
      <w:r w:rsidR="00C74686">
        <w:t xml:space="preserve">the </w:t>
      </w:r>
      <w:r w:rsidR="008E7C2C">
        <w:t xml:space="preserve">December 19, </w:t>
      </w:r>
      <w:r w:rsidR="00FE2544">
        <w:t>2011,</w:t>
      </w:r>
      <w:r w:rsidR="008E7C2C">
        <w:t xml:space="preserve"> OMB </w:t>
      </w:r>
      <w:r w:rsidR="00714946">
        <w:t>Memorandum</w:t>
      </w:r>
      <w:r w:rsidR="008E7C2C">
        <w:t xml:space="preserve"> on Service Contract Inventories</w:t>
      </w:r>
      <w:r w:rsidRPr="00B42A68">
        <w:t>.</w:t>
      </w:r>
    </w:p>
    <w:p w14:paraId="3328FC3A" w14:textId="77777777" w:rsidR="00B42A68" w:rsidRPr="00B42A68" w:rsidRDefault="00B42A68" w:rsidP="00B42A68"/>
    <w:p w14:paraId="3328FC3B" w14:textId="3DB8A1C5" w:rsidR="00F736ED" w:rsidRDefault="005F45E0" w:rsidP="00B42A68">
      <w:r w:rsidRPr="00C7613F">
        <w:t xml:space="preserve">For </w:t>
      </w:r>
      <w:r w:rsidR="00972473" w:rsidRPr="00C7613F">
        <w:t>FY</w:t>
      </w:r>
      <w:r w:rsidR="00F736ED" w:rsidRPr="00C7613F">
        <w:t xml:space="preserve"> </w:t>
      </w:r>
      <w:r w:rsidR="006C5CEE">
        <w:t>2021</w:t>
      </w:r>
      <w:r w:rsidR="00F736ED" w:rsidRPr="00C7613F">
        <w:t xml:space="preserve"> analysis, EPA will</w:t>
      </w:r>
      <w:r w:rsidR="00F27440" w:rsidRPr="00C7613F">
        <w:t xml:space="preserve"> review the </w:t>
      </w:r>
      <w:r w:rsidR="00827D0D" w:rsidRPr="00827D0D">
        <w:t>12</w:t>
      </w:r>
      <w:r w:rsidR="00F27440" w:rsidRPr="00C7613F">
        <w:t xml:space="preserve"> special interest PSCs </w:t>
      </w:r>
      <w:r w:rsidRPr="00C7613F">
        <w:t>that</w:t>
      </w:r>
      <w:r w:rsidR="008A60C4" w:rsidRPr="00C7613F">
        <w:t xml:space="preserve"> were designated to </w:t>
      </w:r>
      <w:r w:rsidRPr="00C7613F">
        <w:t xml:space="preserve">have the </w:t>
      </w:r>
      <w:r w:rsidRPr="00C7613F">
        <w:rPr>
          <w:color w:val="000000"/>
        </w:rPr>
        <w:t xml:space="preserve">greatest </w:t>
      </w:r>
      <w:r w:rsidRPr="00C7613F">
        <w:t xml:space="preserve">potential for </w:t>
      </w:r>
      <w:r w:rsidR="00C7613F">
        <w:t xml:space="preserve">vulnerability.  </w:t>
      </w:r>
      <w:r w:rsidR="008A60C4" w:rsidRPr="00C7613F">
        <w:t xml:space="preserve">In addition, EPA will </w:t>
      </w:r>
      <w:r w:rsidR="00C7613F">
        <w:t xml:space="preserve">select </w:t>
      </w:r>
      <w:r w:rsidR="008A60C4">
        <w:t>contracts</w:t>
      </w:r>
      <w:r w:rsidR="00C7613F">
        <w:t xml:space="preserve"> with the greatest obligated contract </w:t>
      </w:r>
      <w:r w:rsidR="00C7613F" w:rsidRPr="00C7613F">
        <w:t>dollar</w:t>
      </w:r>
      <w:r w:rsidR="00C7613F">
        <w:t xml:space="preserve"> and the type of work involved</w:t>
      </w:r>
      <w:r w:rsidR="00C7613F" w:rsidRPr="00C7613F">
        <w:t xml:space="preserve"> </w:t>
      </w:r>
      <w:r w:rsidR="00F736ED" w:rsidRPr="00C7613F">
        <w:t xml:space="preserve">as an </w:t>
      </w:r>
      <w:r w:rsidR="00B42A68" w:rsidRPr="00C7613F">
        <w:t xml:space="preserve">initial </w:t>
      </w:r>
      <w:r w:rsidR="00F736ED" w:rsidRPr="00C7613F">
        <w:t>indicator of risk.  Th</w:t>
      </w:r>
      <w:r w:rsidR="0056256D" w:rsidRPr="00C7613F">
        <w:t>e</w:t>
      </w:r>
      <w:r w:rsidR="00F736ED" w:rsidRPr="00C7613F">
        <w:t xml:space="preserve"> </w:t>
      </w:r>
      <w:r w:rsidR="008A5FE7">
        <w:t>12</w:t>
      </w:r>
      <w:r w:rsidR="008A60C4" w:rsidRPr="00C7613F">
        <w:t xml:space="preserve"> special interest </w:t>
      </w:r>
      <w:r w:rsidR="00F736ED" w:rsidRPr="00C7613F">
        <w:t>PSCs</w:t>
      </w:r>
      <w:r w:rsidR="0056256D" w:rsidRPr="00C7613F">
        <w:t xml:space="preserve"> </w:t>
      </w:r>
      <w:r w:rsidR="00F736ED" w:rsidRPr="00C7613F">
        <w:t>are</w:t>
      </w:r>
      <w:r w:rsidR="00B42A68" w:rsidRPr="00C7613F">
        <w:t xml:space="preserve"> outlined in the table below</w:t>
      </w:r>
      <w:r w:rsidR="0056256D" w:rsidRPr="00C7613F">
        <w:t>:</w:t>
      </w:r>
    </w:p>
    <w:p w14:paraId="3328FC3C" w14:textId="77777777" w:rsidR="00C018FA" w:rsidRDefault="00C018FA" w:rsidP="00B42A68"/>
    <w:tbl>
      <w:tblPr>
        <w:tblStyle w:val="TableGrid"/>
        <w:tblW w:w="9321" w:type="dxa"/>
        <w:tblInd w:w="265" w:type="dxa"/>
        <w:tblLook w:val="04A0" w:firstRow="1" w:lastRow="0" w:firstColumn="1" w:lastColumn="0" w:noHBand="0" w:noVBand="1"/>
      </w:tblPr>
      <w:tblGrid>
        <w:gridCol w:w="1170"/>
        <w:gridCol w:w="5490"/>
        <w:gridCol w:w="2661"/>
      </w:tblGrid>
      <w:tr w:rsidR="00C018FA" w:rsidRPr="00B42A68" w14:paraId="3328FC40" w14:textId="77777777" w:rsidTr="00E64B61">
        <w:tc>
          <w:tcPr>
            <w:tcW w:w="1170" w:type="dxa"/>
            <w:shd w:val="clear" w:color="auto" w:fill="EEECE1" w:themeFill="background2"/>
          </w:tcPr>
          <w:p w14:paraId="3328FC3D" w14:textId="77777777" w:rsidR="00C018FA" w:rsidRPr="005C30FC" w:rsidRDefault="00C018FA" w:rsidP="008528BF">
            <w:pPr>
              <w:rPr>
                <w:b/>
              </w:rPr>
            </w:pPr>
            <w:r w:rsidRPr="005C30FC">
              <w:rPr>
                <w:b/>
              </w:rPr>
              <w:t>PSC</w:t>
            </w:r>
          </w:p>
        </w:tc>
        <w:tc>
          <w:tcPr>
            <w:tcW w:w="5490" w:type="dxa"/>
            <w:shd w:val="clear" w:color="auto" w:fill="EEECE1" w:themeFill="background2"/>
          </w:tcPr>
          <w:p w14:paraId="3328FC3E" w14:textId="77777777" w:rsidR="00C018FA" w:rsidRPr="005C30FC" w:rsidRDefault="00C018FA" w:rsidP="008528BF">
            <w:pPr>
              <w:rPr>
                <w:b/>
              </w:rPr>
            </w:pPr>
            <w:r w:rsidRPr="005C30FC">
              <w:rPr>
                <w:b/>
              </w:rPr>
              <w:t>Description</w:t>
            </w:r>
          </w:p>
        </w:tc>
        <w:tc>
          <w:tcPr>
            <w:tcW w:w="2661" w:type="dxa"/>
            <w:shd w:val="clear" w:color="auto" w:fill="EEECE1" w:themeFill="background2"/>
          </w:tcPr>
          <w:p w14:paraId="3328FC3F" w14:textId="26AADC40" w:rsidR="00C018FA" w:rsidRPr="005C30FC" w:rsidRDefault="00C018FA" w:rsidP="00AC0CCD">
            <w:pPr>
              <w:jc w:val="center"/>
              <w:rPr>
                <w:b/>
              </w:rPr>
            </w:pPr>
            <w:r w:rsidRPr="005C30FC">
              <w:rPr>
                <w:b/>
              </w:rPr>
              <w:t xml:space="preserve">Total Value </w:t>
            </w:r>
            <w:r w:rsidR="006C5CEE">
              <w:rPr>
                <w:b/>
              </w:rPr>
              <w:t>2021</w:t>
            </w:r>
          </w:p>
        </w:tc>
      </w:tr>
      <w:tr w:rsidR="009F72CB" w:rsidRPr="00B42A68" w14:paraId="3328FC44" w14:textId="77777777" w:rsidTr="00E64B61">
        <w:tc>
          <w:tcPr>
            <w:tcW w:w="1170" w:type="dxa"/>
          </w:tcPr>
          <w:p w14:paraId="3328FC41" w14:textId="3EE86E8E" w:rsidR="009F72CB" w:rsidRPr="00B42A68" w:rsidRDefault="009F72CB" w:rsidP="008528BF">
            <w:r w:rsidRPr="00B42A68">
              <w:t>R499</w:t>
            </w:r>
          </w:p>
        </w:tc>
        <w:tc>
          <w:tcPr>
            <w:tcW w:w="5490" w:type="dxa"/>
          </w:tcPr>
          <w:p w14:paraId="3328FC42" w14:textId="77777777" w:rsidR="009F72CB" w:rsidRPr="00B42A68" w:rsidRDefault="00471C59" w:rsidP="00E64B61">
            <w:r>
              <w:t>Support-Professional</w:t>
            </w:r>
            <w:r w:rsidR="00E64B61">
              <w:t xml:space="preserve">: </w:t>
            </w:r>
            <w:r>
              <w:t>Other</w:t>
            </w:r>
          </w:p>
        </w:tc>
        <w:tc>
          <w:tcPr>
            <w:tcW w:w="2661" w:type="dxa"/>
          </w:tcPr>
          <w:p w14:paraId="3328FC43" w14:textId="492E5E0B" w:rsidR="009F72CB" w:rsidRPr="007C2AAC" w:rsidRDefault="009F72CB" w:rsidP="00DA0132">
            <w:pPr>
              <w:jc w:val="center"/>
              <w:rPr>
                <w:highlight w:val="yellow"/>
              </w:rPr>
            </w:pPr>
            <w:r w:rsidRPr="005C30FC">
              <w:t>$</w:t>
            </w:r>
            <w:r w:rsidR="006C5CEE">
              <w:t>614</w:t>
            </w:r>
            <w:r w:rsidR="00827D0D" w:rsidRPr="005C30FC">
              <w:t>,</w:t>
            </w:r>
            <w:r w:rsidR="006C5CEE">
              <w:t>532</w:t>
            </w:r>
            <w:r w:rsidR="00827D0D" w:rsidRPr="005C30FC">
              <w:t>,</w:t>
            </w:r>
            <w:r w:rsidR="006C5CEE">
              <w:t>466</w:t>
            </w:r>
            <w:r w:rsidR="000E4A37" w:rsidRPr="005C30FC">
              <w:t>.</w:t>
            </w:r>
            <w:r w:rsidR="006C5CEE">
              <w:t>21</w:t>
            </w:r>
          </w:p>
        </w:tc>
      </w:tr>
      <w:tr w:rsidR="007125CF" w:rsidRPr="00B42A68" w14:paraId="2338FC78" w14:textId="77777777" w:rsidTr="00E64B61">
        <w:tc>
          <w:tcPr>
            <w:tcW w:w="1170" w:type="dxa"/>
          </w:tcPr>
          <w:p w14:paraId="025DF5B7" w14:textId="20690B42" w:rsidR="007125CF" w:rsidRPr="00B42A68" w:rsidRDefault="007125CF" w:rsidP="007125CF">
            <w:r w:rsidRPr="00B42A68">
              <w:t>F999</w:t>
            </w:r>
          </w:p>
        </w:tc>
        <w:tc>
          <w:tcPr>
            <w:tcW w:w="5490" w:type="dxa"/>
          </w:tcPr>
          <w:p w14:paraId="69A82F31" w14:textId="78E1B52B" w:rsidR="007125CF" w:rsidRDefault="007125CF" w:rsidP="007125CF">
            <w:r w:rsidRPr="00B42A68">
              <w:t xml:space="preserve">Other </w:t>
            </w:r>
            <w:r>
              <w:t>Environmental Services</w:t>
            </w:r>
          </w:p>
        </w:tc>
        <w:tc>
          <w:tcPr>
            <w:tcW w:w="2661" w:type="dxa"/>
          </w:tcPr>
          <w:p w14:paraId="7427501A" w14:textId="67FCB77B" w:rsidR="007125CF" w:rsidRPr="005C30FC" w:rsidRDefault="007125CF" w:rsidP="007125CF">
            <w:pPr>
              <w:jc w:val="center"/>
            </w:pPr>
            <w:r w:rsidRPr="007125CF">
              <w:t>$</w:t>
            </w:r>
            <w:r w:rsidR="006C5CEE">
              <w:t>326</w:t>
            </w:r>
            <w:r w:rsidRPr="007125CF">
              <w:t>,</w:t>
            </w:r>
            <w:r w:rsidR="006C5CEE">
              <w:t>7</w:t>
            </w:r>
            <w:r w:rsidRPr="007125CF">
              <w:t>88,</w:t>
            </w:r>
            <w:r w:rsidR="006C5CEE">
              <w:t>497</w:t>
            </w:r>
            <w:r w:rsidRPr="007125CF">
              <w:t>.</w:t>
            </w:r>
            <w:r w:rsidR="006C5CEE">
              <w:t>14</w:t>
            </w:r>
          </w:p>
        </w:tc>
      </w:tr>
      <w:tr w:rsidR="006C5CEE" w:rsidRPr="00B42A68" w14:paraId="0144DE39" w14:textId="77777777" w:rsidTr="00E64B61">
        <w:tc>
          <w:tcPr>
            <w:tcW w:w="1170" w:type="dxa"/>
          </w:tcPr>
          <w:p w14:paraId="4C5F345A" w14:textId="428FE043" w:rsidR="006C5CEE" w:rsidRPr="00B42A68" w:rsidRDefault="006C5CEE" w:rsidP="006C5CEE">
            <w:r w:rsidRPr="00B42A68">
              <w:t>R408</w:t>
            </w:r>
          </w:p>
        </w:tc>
        <w:tc>
          <w:tcPr>
            <w:tcW w:w="5490" w:type="dxa"/>
          </w:tcPr>
          <w:p w14:paraId="7B68374F" w14:textId="249B3FD6" w:rsidR="006C5CEE" w:rsidRPr="00B42A68" w:rsidRDefault="006C5CEE" w:rsidP="006C5CEE">
            <w:r>
              <w:t xml:space="preserve">Support-Professional: </w:t>
            </w:r>
            <w:r w:rsidRPr="00B42A68">
              <w:t>Program M</w:t>
            </w:r>
            <w:r>
              <w:t>anagement</w:t>
            </w:r>
            <w:r w:rsidRPr="00B42A68">
              <w:t xml:space="preserve">/Support </w:t>
            </w:r>
          </w:p>
        </w:tc>
        <w:tc>
          <w:tcPr>
            <w:tcW w:w="2661" w:type="dxa"/>
          </w:tcPr>
          <w:p w14:paraId="681ED100" w14:textId="0564063D" w:rsidR="006C5CEE" w:rsidRPr="007125CF" w:rsidRDefault="006C5CEE" w:rsidP="006C5CEE">
            <w:pPr>
              <w:jc w:val="center"/>
            </w:pPr>
            <w:r w:rsidRPr="007125CF">
              <w:t>$2</w:t>
            </w:r>
            <w:r>
              <w:t>82</w:t>
            </w:r>
            <w:r w:rsidRPr="007125CF">
              <w:t>,</w:t>
            </w:r>
            <w:r>
              <w:t>861</w:t>
            </w:r>
            <w:r w:rsidRPr="007125CF">
              <w:t>,</w:t>
            </w:r>
            <w:r>
              <w:t>623</w:t>
            </w:r>
            <w:r w:rsidRPr="007125CF">
              <w:t>.</w:t>
            </w:r>
            <w:r>
              <w:t>95</w:t>
            </w:r>
          </w:p>
        </w:tc>
      </w:tr>
      <w:tr w:rsidR="006C5CEE" w:rsidRPr="00B42A68" w14:paraId="514DAE2E" w14:textId="77777777" w:rsidTr="00E64B61">
        <w:tc>
          <w:tcPr>
            <w:tcW w:w="1170" w:type="dxa"/>
          </w:tcPr>
          <w:p w14:paraId="73051239" w14:textId="1409ADF1" w:rsidR="006C5CEE" w:rsidRPr="00B42A68" w:rsidRDefault="006C5CEE" w:rsidP="006C5CEE">
            <w:r w:rsidRPr="00B42A68">
              <w:t>R425</w:t>
            </w:r>
          </w:p>
        </w:tc>
        <w:tc>
          <w:tcPr>
            <w:tcW w:w="5490" w:type="dxa"/>
          </w:tcPr>
          <w:p w14:paraId="249908EC" w14:textId="5262AEF9" w:rsidR="006C5CEE" w:rsidRDefault="006C5CEE" w:rsidP="006C5CEE">
            <w:r>
              <w:t>Support-Professional: Engineering/Technical</w:t>
            </w:r>
          </w:p>
        </w:tc>
        <w:tc>
          <w:tcPr>
            <w:tcW w:w="2661" w:type="dxa"/>
          </w:tcPr>
          <w:p w14:paraId="1DF81516" w14:textId="52E39A93" w:rsidR="006C5CEE" w:rsidRPr="007125CF" w:rsidRDefault="006C5CEE" w:rsidP="006C5CEE">
            <w:pPr>
              <w:jc w:val="center"/>
              <w:rPr>
                <w:highlight w:val="yellow"/>
              </w:rPr>
            </w:pPr>
            <w:r w:rsidRPr="007125CF">
              <w:t>$</w:t>
            </w:r>
            <w:r>
              <w:t>197</w:t>
            </w:r>
            <w:r w:rsidRPr="007125CF">
              <w:t>,</w:t>
            </w:r>
            <w:r>
              <w:t>109</w:t>
            </w:r>
            <w:r w:rsidRPr="007125CF">
              <w:t>,</w:t>
            </w:r>
            <w:r>
              <w:t>837</w:t>
            </w:r>
            <w:r w:rsidRPr="007125CF">
              <w:t>.</w:t>
            </w:r>
            <w:r>
              <w:t>33</w:t>
            </w:r>
          </w:p>
        </w:tc>
      </w:tr>
      <w:tr w:rsidR="006C5CEE" w:rsidRPr="00B42A68" w14:paraId="3328FC48" w14:textId="77777777" w:rsidTr="00E64B61">
        <w:tc>
          <w:tcPr>
            <w:tcW w:w="1170" w:type="dxa"/>
          </w:tcPr>
          <w:p w14:paraId="3328FC45" w14:textId="6D4FFC57" w:rsidR="006C5CEE" w:rsidRPr="00B42A68" w:rsidRDefault="006C5CEE" w:rsidP="006C5CEE">
            <w:r w:rsidRPr="00B42A68">
              <w:t>C214</w:t>
            </w:r>
          </w:p>
        </w:tc>
        <w:tc>
          <w:tcPr>
            <w:tcW w:w="5490" w:type="dxa"/>
          </w:tcPr>
          <w:p w14:paraId="3328FC46" w14:textId="309075DA" w:rsidR="006C5CEE" w:rsidRPr="00B42A68" w:rsidRDefault="006C5CEE" w:rsidP="006C5CEE">
            <w:r w:rsidRPr="00B42A68">
              <w:t>A&amp;E Management Engineering S</w:t>
            </w:r>
            <w:r>
              <w:t>ervices</w:t>
            </w:r>
          </w:p>
        </w:tc>
        <w:tc>
          <w:tcPr>
            <w:tcW w:w="2661" w:type="dxa"/>
          </w:tcPr>
          <w:p w14:paraId="3328FC47" w14:textId="04218C0F" w:rsidR="006C5CEE" w:rsidRPr="007125CF" w:rsidRDefault="006C5CEE" w:rsidP="006C5CEE">
            <w:pPr>
              <w:jc w:val="center"/>
              <w:rPr>
                <w:highlight w:val="yellow"/>
              </w:rPr>
            </w:pPr>
            <w:r w:rsidRPr="007125CF">
              <w:t>$1</w:t>
            </w:r>
            <w:r>
              <w:t>76</w:t>
            </w:r>
            <w:r w:rsidRPr="007125CF">
              <w:t>,</w:t>
            </w:r>
            <w:r>
              <w:t>985</w:t>
            </w:r>
            <w:r w:rsidRPr="007125CF">
              <w:t>,</w:t>
            </w:r>
            <w:r>
              <w:t>835</w:t>
            </w:r>
            <w:r w:rsidRPr="007125CF">
              <w:t>.</w:t>
            </w:r>
            <w:r>
              <w:t>99</w:t>
            </w:r>
          </w:p>
        </w:tc>
      </w:tr>
      <w:tr w:rsidR="006C5CEE" w:rsidRPr="00B42A68" w14:paraId="154C0668" w14:textId="77777777" w:rsidTr="00E64B61">
        <w:tc>
          <w:tcPr>
            <w:tcW w:w="1170" w:type="dxa"/>
          </w:tcPr>
          <w:p w14:paraId="774B212C" w14:textId="05521B4F" w:rsidR="006C5CEE" w:rsidRPr="00B42A68" w:rsidRDefault="006C5CEE" w:rsidP="006C5CEE">
            <w:r w:rsidRPr="00B42A68">
              <w:t>C211</w:t>
            </w:r>
          </w:p>
        </w:tc>
        <w:tc>
          <w:tcPr>
            <w:tcW w:w="5490" w:type="dxa"/>
          </w:tcPr>
          <w:p w14:paraId="184498A3" w14:textId="39EE61FB" w:rsidR="006C5CEE" w:rsidRPr="00B42A68" w:rsidRDefault="006C5CEE" w:rsidP="006C5CEE">
            <w:r w:rsidRPr="00B42A68">
              <w:t>A/E S</w:t>
            </w:r>
            <w:r>
              <w:t>ervices</w:t>
            </w:r>
            <w:r w:rsidRPr="00B42A68">
              <w:t xml:space="preserve"> (incl. landscaping interior)</w:t>
            </w:r>
          </w:p>
        </w:tc>
        <w:tc>
          <w:tcPr>
            <w:tcW w:w="2661" w:type="dxa"/>
          </w:tcPr>
          <w:p w14:paraId="1AA05E3D" w14:textId="6971FD13" w:rsidR="006C5CEE" w:rsidRPr="007125CF" w:rsidRDefault="006C5CEE" w:rsidP="006C5CEE">
            <w:pPr>
              <w:jc w:val="center"/>
              <w:rPr>
                <w:highlight w:val="yellow"/>
              </w:rPr>
            </w:pPr>
            <w:r w:rsidRPr="007125CF">
              <w:t xml:space="preserve"> $1</w:t>
            </w:r>
            <w:r>
              <w:t>08</w:t>
            </w:r>
            <w:r w:rsidRPr="007125CF">
              <w:t>,</w:t>
            </w:r>
            <w:r>
              <w:t>032</w:t>
            </w:r>
            <w:r w:rsidRPr="007125CF">
              <w:t>,</w:t>
            </w:r>
            <w:r>
              <w:t>220</w:t>
            </w:r>
            <w:r w:rsidRPr="007125CF">
              <w:t>.</w:t>
            </w:r>
            <w:r w:rsidR="00FE2544">
              <w:t>04</w:t>
            </w:r>
          </w:p>
        </w:tc>
      </w:tr>
      <w:tr w:rsidR="006C5CEE" w:rsidRPr="00B42A68" w14:paraId="3328FC54" w14:textId="77777777" w:rsidTr="00E64B61">
        <w:tc>
          <w:tcPr>
            <w:tcW w:w="1170" w:type="dxa"/>
          </w:tcPr>
          <w:p w14:paraId="3328FC51" w14:textId="5D5AA8F8" w:rsidR="006C5CEE" w:rsidRPr="00B42A68" w:rsidRDefault="006C5CEE" w:rsidP="006C5CEE">
            <w:r w:rsidRPr="00B42A68">
              <w:t>D399</w:t>
            </w:r>
          </w:p>
        </w:tc>
        <w:tc>
          <w:tcPr>
            <w:tcW w:w="5490" w:type="dxa"/>
          </w:tcPr>
          <w:p w14:paraId="3328FC52" w14:textId="7A111DC3" w:rsidR="006C5CEE" w:rsidRPr="00B42A68" w:rsidRDefault="006C5CEE" w:rsidP="006C5CEE">
            <w:r>
              <w:t>IT and Telecom-Other IT and</w:t>
            </w:r>
            <w:r w:rsidRPr="00B42A68">
              <w:t xml:space="preserve"> Telecommunications </w:t>
            </w:r>
          </w:p>
        </w:tc>
        <w:tc>
          <w:tcPr>
            <w:tcW w:w="2661" w:type="dxa"/>
          </w:tcPr>
          <w:p w14:paraId="3328FC53" w14:textId="3EFBEA40" w:rsidR="006C5CEE" w:rsidRPr="007125CF" w:rsidRDefault="006C5CEE" w:rsidP="006C5CEE">
            <w:pPr>
              <w:jc w:val="center"/>
              <w:rPr>
                <w:highlight w:val="yellow"/>
              </w:rPr>
            </w:pPr>
            <w:r>
              <w:t xml:space="preserve"> </w:t>
            </w:r>
            <w:r w:rsidRPr="007125CF">
              <w:t xml:space="preserve"> $</w:t>
            </w:r>
            <w:r w:rsidR="00FE2544">
              <w:t>73</w:t>
            </w:r>
            <w:r w:rsidRPr="007125CF">
              <w:t>,</w:t>
            </w:r>
            <w:r w:rsidR="00FE2544">
              <w:t>790</w:t>
            </w:r>
            <w:r w:rsidRPr="007125CF">
              <w:t>,</w:t>
            </w:r>
            <w:r w:rsidR="00FE2544">
              <w:t>461</w:t>
            </w:r>
            <w:r w:rsidRPr="007125CF">
              <w:t>.</w:t>
            </w:r>
            <w:r w:rsidR="00FE2544">
              <w:t>23</w:t>
            </w:r>
          </w:p>
        </w:tc>
      </w:tr>
      <w:tr w:rsidR="006C5CEE" w:rsidRPr="00B42A68" w14:paraId="3328FC5C" w14:textId="77777777" w:rsidTr="00E64B61">
        <w:tc>
          <w:tcPr>
            <w:tcW w:w="1170" w:type="dxa"/>
          </w:tcPr>
          <w:p w14:paraId="3328FC59" w14:textId="5227DDA0" w:rsidR="006C5CEE" w:rsidRPr="00B42A68" w:rsidRDefault="006C5CEE" w:rsidP="006C5CEE">
            <w:r w:rsidRPr="00B42A68">
              <w:t>B510</w:t>
            </w:r>
          </w:p>
        </w:tc>
        <w:tc>
          <w:tcPr>
            <w:tcW w:w="5490" w:type="dxa"/>
          </w:tcPr>
          <w:p w14:paraId="3328FC5A" w14:textId="5E6E3756" w:rsidR="006C5CEE" w:rsidRPr="00B42A68" w:rsidRDefault="006C5CEE" w:rsidP="006C5CEE">
            <w:r w:rsidRPr="00B42A68">
              <w:t>Study/Environmental Assessments</w:t>
            </w:r>
          </w:p>
        </w:tc>
        <w:tc>
          <w:tcPr>
            <w:tcW w:w="2661" w:type="dxa"/>
          </w:tcPr>
          <w:p w14:paraId="3328FC5B" w14:textId="1F332878" w:rsidR="006C5CEE" w:rsidRPr="007125CF" w:rsidRDefault="006C5CEE" w:rsidP="006C5CEE">
            <w:pPr>
              <w:rPr>
                <w:highlight w:val="yellow"/>
              </w:rPr>
            </w:pPr>
            <w:r w:rsidRPr="007125CF">
              <w:t xml:space="preserve">        </w:t>
            </w:r>
            <w:r>
              <w:t xml:space="preserve"> </w:t>
            </w:r>
            <w:r w:rsidRPr="007125CF">
              <w:t>$</w:t>
            </w:r>
            <w:r w:rsidR="00FE2544">
              <w:t>63</w:t>
            </w:r>
            <w:r w:rsidRPr="007125CF">
              <w:t>,</w:t>
            </w:r>
            <w:r w:rsidR="00FE2544">
              <w:t>450</w:t>
            </w:r>
            <w:r w:rsidRPr="007125CF">
              <w:t>,</w:t>
            </w:r>
            <w:r w:rsidR="00FE2544">
              <w:t>192</w:t>
            </w:r>
            <w:r w:rsidRPr="007125CF">
              <w:t>.</w:t>
            </w:r>
            <w:r w:rsidR="00FE2544">
              <w:t>2</w:t>
            </w:r>
            <w:r w:rsidRPr="007125CF">
              <w:t>7</w:t>
            </w:r>
          </w:p>
        </w:tc>
      </w:tr>
      <w:tr w:rsidR="006C5CEE" w:rsidRPr="00B42A68" w14:paraId="3328FC60" w14:textId="77777777" w:rsidTr="00E64B61">
        <w:tc>
          <w:tcPr>
            <w:tcW w:w="1170" w:type="dxa"/>
          </w:tcPr>
          <w:p w14:paraId="3328FC5D" w14:textId="4857EDB9" w:rsidR="006C5CEE" w:rsidRPr="00B42A68" w:rsidRDefault="006C5CEE" w:rsidP="006C5CEE">
            <w:r>
              <w:t>D308</w:t>
            </w:r>
          </w:p>
        </w:tc>
        <w:tc>
          <w:tcPr>
            <w:tcW w:w="5490" w:type="dxa"/>
          </w:tcPr>
          <w:p w14:paraId="3328FC5E" w14:textId="70479FE8" w:rsidR="006C5CEE" w:rsidRPr="007125CF" w:rsidRDefault="006C5CEE" w:rsidP="006C5CEE">
            <w:r w:rsidRPr="007125CF">
              <w:t>IT and Telecom-Programming</w:t>
            </w:r>
          </w:p>
        </w:tc>
        <w:tc>
          <w:tcPr>
            <w:tcW w:w="2661" w:type="dxa"/>
          </w:tcPr>
          <w:p w14:paraId="3328FC5F" w14:textId="186732D3" w:rsidR="006C5CEE" w:rsidRPr="007125CF" w:rsidRDefault="006C5CEE" w:rsidP="006C5CEE">
            <w:r w:rsidRPr="007125CF">
              <w:t xml:space="preserve">         $</w:t>
            </w:r>
            <w:r w:rsidR="00FE2544">
              <w:t>52</w:t>
            </w:r>
            <w:r w:rsidRPr="007125CF">
              <w:t>,09</w:t>
            </w:r>
            <w:r w:rsidR="00FE2544">
              <w:t>5</w:t>
            </w:r>
            <w:r w:rsidRPr="007125CF">
              <w:t>,</w:t>
            </w:r>
            <w:r w:rsidR="00FE2544">
              <w:t>790</w:t>
            </w:r>
            <w:r w:rsidRPr="007125CF">
              <w:t>.</w:t>
            </w:r>
            <w:r w:rsidR="00FE2544">
              <w:t>62</w:t>
            </w:r>
          </w:p>
        </w:tc>
      </w:tr>
      <w:tr w:rsidR="006C5CEE" w:rsidRPr="00B42A68" w14:paraId="1218DC5D" w14:textId="77777777" w:rsidTr="00E64B61">
        <w:tc>
          <w:tcPr>
            <w:tcW w:w="1170" w:type="dxa"/>
          </w:tcPr>
          <w:p w14:paraId="6A0E0C56" w14:textId="799F0C4B" w:rsidR="006C5CEE" w:rsidRDefault="006C5CEE" w:rsidP="006C5CEE">
            <w:r>
              <w:t>R699</w:t>
            </w:r>
          </w:p>
        </w:tc>
        <w:tc>
          <w:tcPr>
            <w:tcW w:w="5490" w:type="dxa"/>
          </w:tcPr>
          <w:p w14:paraId="37FC352E" w14:textId="65A781C5" w:rsidR="006C5CEE" w:rsidRDefault="006C5CEE" w:rsidP="006C5CEE">
            <w:r>
              <w:t>Support – Administrative: Other</w:t>
            </w:r>
          </w:p>
        </w:tc>
        <w:tc>
          <w:tcPr>
            <w:tcW w:w="2661" w:type="dxa"/>
          </w:tcPr>
          <w:p w14:paraId="6190FBCD" w14:textId="679BC4F9" w:rsidR="006C5CEE" w:rsidRPr="007125CF" w:rsidRDefault="006C5CEE" w:rsidP="006C5CEE">
            <w:pPr>
              <w:rPr>
                <w:highlight w:val="yellow"/>
              </w:rPr>
            </w:pPr>
            <w:r w:rsidRPr="007125CF">
              <w:t xml:space="preserve">        </w:t>
            </w:r>
            <w:r>
              <w:t xml:space="preserve"> </w:t>
            </w:r>
            <w:r w:rsidRPr="007125CF">
              <w:t>$</w:t>
            </w:r>
            <w:r w:rsidR="00FE2544">
              <w:t>23</w:t>
            </w:r>
            <w:r w:rsidRPr="007125CF">
              <w:t>,</w:t>
            </w:r>
            <w:r w:rsidR="00FE2544">
              <w:t>580</w:t>
            </w:r>
            <w:r w:rsidRPr="007125CF">
              <w:t>,</w:t>
            </w:r>
            <w:r w:rsidR="00FE2544">
              <w:t>4</w:t>
            </w:r>
            <w:r w:rsidRPr="007125CF">
              <w:t>11.</w:t>
            </w:r>
            <w:r w:rsidR="00FE2544">
              <w:t>33</w:t>
            </w:r>
          </w:p>
        </w:tc>
      </w:tr>
      <w:tr w:rsidR="006C5CEE" w:rsidRPr="00B42A68" w14:paraId="3328FC68" w14:textId="77777777" w:rsidTr="00E64B61">
        <w:tc>
          <w:tcPr>
            <w:tcW w:w="1170" w:type="dxa"/>
          </w:tcPr>
          <w:p w14:paraId="3328FC65" w14:textId="62ED65BF" w:rsidR="006C5CEE" w:rsidRPr="00B42A68" w:rsidRDefault="00FE2544" w:rsidP="006C5CEE">
            <w:r>
              <w:t>D302</w:t>
            </w:r>
          </w:p>
        </w:tc>
        <w:tc>
          <w:tcPr>
            <w:tcW w:w="5490" w:type="dxa"/>
          </w:tcPr>
          <w:p w14:paraId="3328FC66" w14:textId="603D3545" w:rsidR="006C5CEE" w:rsidRPr="00B42A68" w:rsidRDefault="00FE2544" w:rsidP="006C5CEE">
            <w:r>
              <w:t>IT and Telecom – Systems Development</w:t>
            </w:r>
          </w:p>
        </w:tc>
        <w:tc>
          <w:tcPr>
            <w:tcW w:w="2661" w:type="dxa"/>
          </w:tcPr>
          <w:p w14:paraId="3328FC67" w14:textId="42F67B33" w:rsidR="006C5CEE" w:rsidRPr="007125CF" w:rsidRDefault="00FE2544" w:rsidP="006C5CEE">
            <w:pPr>
              <w:jc w:val="center"/>
              <w:rPr>
                <w:highlight w:val="yellow"/>
              </w:rPr>
            </w:pPr>
            <w:r w:rsidRPr="00FE2544">
              <w:t xml:space="preserve">   $11,807,238.21</w:t>
            </w:r>
          </w:p>
        </w:tc>
      </w:tr>
      <w:tr w:rsidR="00FE2544" w:rsidRPr="00B42A68" w14:paraId="3328FC6C" w14:textId="77777777" w:rsidTr="00E64B61">
        <w:tc>
          <w:tcPr>
            <w:tcW w:w="1170" w:type="dxa"/>
          </w:tcPr>
          <w:p w14:paraId="3328FC69" w14:textId="53FB2B16" w:rsidR="00FE2544" w:rsidRPr="00B42A68" w:rsidRDefault="00FE2544" w:rsidP="00FE2544">
            <w:r w:rsidRPr="00B42A68">
              <w:t>R799</w:t>
            </w:r>
          </w:p>
        </w:tc>
        <w:tc>
          <w:tcPr>
            <w:tcW w:w="5490" w:type="dxa"/>
          </w:tcPr>
          <w:p w14:paraId="3328FC6A" w14:textId="65B0C43B" w:rsidR="00FE2544" w:rsidRPr="007125CF" w:rsidRDefault="00FE2544" w:rsidP="00FE2544">
            <w:r>
              <w:t>Support-Management: Other</w:t>
            </w:r>
          </w:p>
        </w:tc>
        <w:tc>
          <w:tcPr>
            <w:tcW w:w="2661" w:type="dxa"/>
          </w:tcPr>
          <w:p w14:paraId="3328FC6B" w14:textId="0AE459D8" w:rsidR="00FE2544" w:rsidRPr="007125CF" w:rsidRDefault="00FE2544" w:rsidP="00FE2544">
            <w:r w:rsidRPr="007125CF">
              <w:t xml:space="preserve">   </w:t>
            </w:r>
            <w:r>
              <w:t xml:space="preserve">        </w:t>
            </w:r>
            <w:r w:rsidRPr="007125CF">
              <w:t>$</w:t>
            </w:r>
            <w:r>
              <w:t>4</w:t>
            </w:r>
            <w:r w:rsidRPr="007125CF">
              <w:t>,</w:t>
            </w:r>
            <w:r>
              <w:t>310</w:t>
            </w:r>
            <w:r w:rsidRPr="007125CF">
              <w:t>,</w:t>
            </w:r>
            <w:r>
              <w:t>051</w:t>
            </w:r>
            <w:r w:rsidRPr="007125CF">
              <w:t>.</w:t>
            </w:r>
            <w:r>
              <w:t>9</w:t>
            </w:r>
            <w:r w:rsidRPr="007125CF">
              <w:t>5</w:t>
            </w:r>
          </w:p>
        </w:tc>
      </w:tr>
    </w:tbl>
    <w:p w14:paraId="3328FC71" w14:textId="77777777" w:rsidR="00C018FA" w:rsidRDefault="00C018FA" w:rsidP="00B42A68"/>
    <w:p w14:paraId="3328FC72" w14:textId="77777777" w:rsidR="00B42A68" w:rsidRDefault="00B42A68" w:rsidP="00B42A68">
      <w:r w:rsidRPr="00B42A68">
        <w:t xml:space="preserve">EPA will </w:t>
      </w:r>
      <w:r w:rsidR="006A06E0">
        <w:t>approach it analysis using the following method</w:t>
      </w:r>
      <w:r w:rsidRPr="00B42A68">
        <w:t>:</w:t>
      </w:r>
    </w:p>
    <w:p w14:paraId="3328FC73" w14:textId="77777777" w:rsidR="00B42A68" w:rsidRPr="00B42A68" w:rsidRDefault="00B42A68" w:rsidP="00B42A68"/>
    <w:p w14:paraId="3328FC74" w14:textId="77777777" w:rsidR="00B42A68" w:rsidRPr="00B42A68" w:rsidRDefault="00B42A68" w:rsidP="00B42A68">
      <w:r w:rsidRPr="00B42A68">
        <w:t xml:space="preserve">Step 1:  Consolidate </w:t>
      </w:r>
      <w:r w:rsidR="006A06E0">
        <w:t xml:space="preserve">the </w:t>
      </w:r>
      <w:r w:rsidRPr="00B42A68">
        <w:t xml:space="preserve">data </w:t>
      </w:r>
      <w:r>
        <w:t>described</w:t>
      </w:r>
      <w:r w:rsidRPr="00B42A68">
        <w:t xml:space="preserve"> above.</w:t>
      </w:r>
    </w:p>
    <w:p w14:paraId="3328FC75" w14:textId="77777777" w:rsidR="00B42A68" w:rsidRPr="00B42A68" w:rsidRDefault="00B42A68" w:rsidP="00B42A68">
      <w:r w:rsidRPr="00B42A68">
        <w:t xml:space="preserve">Step 2:  Crosswalk </w:t>
      </w:r>
      <w:r>
        <w:t>the</w:t>
      </w:r>
      <w:r w:rsidRPr="00B42A68">
        <w:t xml:space="preserve"> data with </w:t>
      </w:r>
      <w:r>
        <w:t>EPA’s c</w:t>
      </w:r>
      <w:r w:rsidRPr="00B42A68">
        <w:t xml:space="preserve">ontractor </w:t>
      </w:r>
      <w:r>
        <w:t>i</w:t>
      </w:r>
      <w:r w:rsidRPr="00B42A68">
        <w:t xml:space="preserve">nventory </w:t>
      </w:r>
      <w:r>
        <w:t xml:space="preserve">and FPDS </w:t>
      </w:r>
      <w:r w:rsidRPr="00B42A68">
        <w:t xml:space="preserve">data.  </w:t>
      </w:r>
    </w:p>
    <w:p w14:paraId="3328FC76" w14:textId="77777777" w:rsidR="00B42A68" w:rsidRDefault="00B42A68" w:rsidP="00B42A68">
      <w:r w:rsidRPr="00B42A68">
        <w:t xml:space="preserve">Step 3:  Evaluate </w:t>
      </w:r>
      <w:r w:rsidR="006A06E0">
        <w:t xml:space="preserve">the </w:t>
      </w:r>
      <w:r w:rsidRPr="00B42A68">
        <w:t xml:space="preserve">data in accordance with </w:t>
      </w:r>
      <w:r w:rsidR="006A06E0">
        <w:t xml:space="preserve">Agency and Federal </w:t>
      </w:r>
      <w:r w:rsidRPr="00B42A68">
        <w:t xml:space="preserve">policy and guidance.  </w:t>
      </w:r>
    </w:p>
    <w:p w14:paraId="3328FC77" w14:textId="77777777" w:rsidR="00B42A68" w:rsidRDefault="00B42A68" w:rsidP="00B42A68">
      <w:r w:rsidRPr="00B42A68">
        <w:t xml:space="preserve">Step 4:  Develop </w:t>
      </w:r>
      <w:r>
        <w:t>c</w:t>
      </w:r>
      <w:r w:rsidRPr="00B42A68">
        <w:t xml:space="preserve">riteria to identify </w:t>
      </w:r>
      <w:r>
        <w:t xml:space="preserve">individual </w:t>
      </w:r>
      <w:r w:rsidRPr="00B42A68">
        <w:t xml:space="preserve">contracts for in-depth review.  </w:t>
      </w:r>
    </w:p>
    <w:p w14:paraId="3328FC78" w14:textId="77777777" w:rsidR="00B42A68" w:rsidRDefault="00B42A68" w:rsidP="00B42A68"/>
    <w:p w14:paraId="3328FC79" w14:textId="77777777" w:rsidR="00B42A68" w:rsidRPr="00B42A68" w:rsidRDefault="00B42A68" w:rsidP="00B42A68">
      <w:r w:rsidRPr="00B42A68">
        <w:t xml:space="preserve">Based on the criteria identified </w:t>
      </w:r>
      <w:r w:rsidR="00641984">
        <w:t xml:space="preserve">and </w:t>
      </w:r>
      <w:r w:rsidRPr="00B42A68">
        <w:t xml:space="preserve">in </w:t>
      </w:r>
      <w:r w:rsidR="00811394">
        <w:t xml:space="preserve">accordance with </w:t>
      </w:r>
      <w:r w:rsidRPr="00B42A68">
        <w:t xml:space="preserve">the Consolidated Appropriations Act, EPA will select </w:t>
      </w:r>
      <w:r w:rsidR="00641984">
        <w:t>individual</w:t>
      </w:r>
      <w:r w:rsidRPr="00B42A68">
        <w:t xml:space="preserve"> contracts for </w:t>
      </w:r>
      <w:r w:rsidR="00641984">
        <w:t>detailed</w:t>
      </w:r>
      <w:r w:rsidRPr="00B42A68">
        <w:t xml:space="preserve"> review in the following order:</w:t>
      </w:r>
    </w:p>
    <w:p w14:paraId="3328FC7A" w14:textId="77777777" w:rsidR="00B42A68" w:rsidRDefault="00B42A68" w:rsidP="00B42A68"/>
    <w:p w14:paraId="3328FC7B" w14:textId="77777777" w:rsidR="00B42A68" w:rsidRPr="00B42A68" w:rsidRDefault="00B42A68" w:rsidP="00B42A68">
      <w:r w:rsidRPr="00B42A68">
        <w:t>Tier 1:  Potential for inherently governmental performance by contractors;</w:t>
      </w:r>
    </w:p>
    <w:p w14:paraId="3328FC7C" w14:textId="77777777" w:rsidR="00B42A68" w:rsidRPr="00B42A68" w:rsidRDefault="00B42A68" w:rsidP="00B42A68">
      <w:r w:rsidRPr="00B42A68">
        <w:t xml:space="preserve">Tier 2:  Contracts providing </w:t>
      </w:r>
      <w:r w:rsidR="00811394">
        <w:t>professional and management services or information technology services</w:t>
      </w:r>
      <w:r w:rsidRPr="00B42A68">
        <w:t>;</w:t>
      </w:r>
    </w:p>
    <w:p w14:paraId="3328FC7D" w14:textId="77777777" w:rsidR="00B42A68" w:rsidRPr="00B42A68" w:rsidRDefault="00B42A68" w:rsidP="00B42A68">
      <w:r w:rsidRPr="00B42A68">
        <w:t xml:space="preserve">Tier 3:  Contracts that do </w:t>
      </w:r>
      <w:r w:rsidRPr="00B42A68">
        <w:rPr>
          <w:i/>
        </w:rPr>
        <w:t>not</w:t>
      </w:r>
      <w:r w:rsidRPr="00B42A68">
        <w:t xml:space="preserve"> include </w:t>
      </w:r>
      <w:r w:rsidR="00641984">
        <w:t>professional and management services or information technology services</w:t>
      </w:r>
      <w:r w:rsidRPr="00B42A68">
        <w:t>, but were awarded on a non-competitive basis; and</w:t>
      </w:r>
    </w:p>
    <w:p w14:paraId="3328FC7E" w14:textId="77777777" w:rsidR="00B42A68" w:rsidRPr="00B42A68" w:rsidRDefault="00B42A68" w:rsidP="00B42A68">
      <w:r w:rsidRPr="00B42A68">
        <w:lastRenderedPageBreak/>
        <w:t xml:space="preserve">Tier 4:  Contracts that do </w:t>
      </w:r>
      <w:r w:rsidRPr="00B42A68">
        <w:rPr>
          <w:i/>
        </w:rPr>
        <w:t>not</w:t>
      </w:r>
      <w:r w:rsidRPr="00B42A68">
        <w:t xml:space="preserve"> include </w:t>
      </w:r>
      <w:r w:rsidR="00641984">
        <w:t>professional and management services or information technology services</w:t>
      </w:r>
      <w:r w:rsidR="00641984" w:rsidRPr="00B42A68">
        <w:t>,</w:t>
      </w:r>
      <w:r w:rsidRPr="00B42A68">
        <w:t xml:space="preserve"> but meet any one of the remaining designated criteria.</w:t>
      </w:r>
    </w:p>
    <w:p w14:paraId="3328FC7F" w14:textId="77777777" w:rsidR="00B42A68" w:rsidRDefault="00B42A68" w:rsidP="00B42A68"/>
    <w:p w14:paraId="3328FC80" w14:textId="77777777" w:rsidR="00F736ED" w:rsidRDefault="00B42A68" w:rsidP="00B42A68">
      <w:r>
        <w:t xml:space="preserve">To perform its analysis </w:t>
      </w:r>
      <w:r w:rsidR="00F736ED" w:rsidRPr="00B42A68">
        <w:t xml:space="preserve">EPA will contact </w:t>
      </w:r>
      <w:r w:rsidR="0084068D">
        <w:t xml:space="preserve">the </w:t>
      </w:r>
      <w:r w:rsidR="00F736ED" w:rsidRPr="00B42A68">
        <w:t xml:space="preserve">cognizant </w:t>
      </w:r>
      <w:r w:rsidR="0084068D">
        <w:t>contracting officers</w:t>
      </w:r>
      <w:r w:rsidR="00F736ED" w:rsidRPr="00B42A68">
        <w:t xml:space="preserve"> and </w:t>
      </w:r>
      <w:r w:rsidR="0084068D">
        <w:t>contracting officer representatives</w:t>
      </w:r>
      <w:r w:rsidR="00F736ED" w:rsidRPr="00B42A68">
        <w:t xml:space="preserve"> to </w:t>
      </w:r>
      <w:r>
        <w:t>gain access to</w:t>
      </w:r>
      <w:r w:rsidR="00F736ED" w:rsidRPr="00B42A68">
        <w:t xml:space="preserve"> the contracts</w:t>
      </w:r>
      <w:r>
        <w:t xml:space="preserve"> </w:t>
      </w:r>
      <w:r w:rsidR="0084068D">
        <w:t>and related documents as well as to</w:t>
      </w:r>
      <w:r w:rsidR="00F736ED" w:rsidRPr="00B42A68">
        <w:t xml:space="preserve"> gather information via survey, in-person interviews, and reviews of task orders, invoices, deliverables, and facilities</w:t>
      </w:r>
      <w:r w:rsidR="0084068D">
        <w:t>,</w:t>
      </w:r>
      <w:r w:rsidR="00F736ED" w:rsidRPr="00B42A68">
        <w:t xml:space="preserve"> as appropriate.</w:t>
      </w:r>
    </w:p>
    <w:p w14:paraId="3328FC81" w14:textId="77777777" w:rsidR="000E4A37" w:rsidRDefault="000E4A37" w:rsidP="00B42A68"/>
    <w:p w14:paraId="3328FC82" w14:textId="67853B95" w:rsidR="000E4A37" w:rsidRPr="00B42A68" w:rsidRDefault="000E4A37" w:rsidP="00B42A68">
      <w:r>
        <w:t xml:space="preserve">The FY </w:t>
      </w:r>
      <w:r w:rsidR="006C5CEE">
        <w:t>2021</w:t>
      </w:r>
      <w:r>
        <w:t xml:space="preserve"> inventory must include a supplement with information collected from contractors on the amounts invoiced and the direct labor hours expended on covered service contracts. The Federal Acquisition Regulation (FAR) Subpart 4.17 addresses the collection of this information.</w:t>
      </w:r>
    </w:p>
    <w:p w14:paraId="3328FC83" w14:textId="77777777" w:rsidR="000E1BDB" w:rsidRDefault="000E1BDB" w:rsidP="000E1BDB"/>
    <w:p w14:paraId="3328FC84" w14:textId="2A363AB2" w:rsidR="000E1BDB" w:rsidRDefault="000E1BDB" w:rsidP="000E1BDB">
      <w:r>
        <w:t xml:space="preserve">The Senior Agency Management Official who is accountable for the development of agency policies, procedures, and training associated with OFPP Policy Letter 11-01 addressing the performance of inherently governmental and critical functions (this designation is already required by section 5-4(e) of the Policy Letter) is </w:t>
      </w:r>
      <w:r w:rsidR="00FB0DEF">
        <w:t>Raoul D. Scott</w:t>
      </w:r>
      <w:r>
        <w:t>,</w:t>
      </w:r>
      <w:r w:rsidR="00FB0DEF">
        <w:t xml:space="preserve"> Jr.</w:t>
      </w:r>
      <w:r>
        <w:t xml:space="preserve"> Director of Policy, Training, and Oversight Division.</w:t>
      </w:r>
    </w:p>
    <w:p w14:paraId="3328FC85" w14:textId="77777777" w:rsidR="000E1BDB" w:rsidRDefault="000E1BDB" w:rsidP="000E1BDB"/>
    <w:p w14:paraId="3328FC86" w14:textId="77777777" w:rsidR="000E1BDB" w:rsidRDefault="000E1BDB" w:rsidP="000E1BDB">
      <w:r>
        <w:t>The Senior Agency Management Official who is responsible for ensuring appropriate internal management attention is given to the development and analysis of service cont</w:t>
      </w:r>
      <w:r w:rsidR="00AC0CCD">
        <w:t>ract inventories is Kimberly Patrick</w:t>
      </w:r>
      <w:r>
        <w:t>, Senior Procurement Executive.</w:t>
      </w:r>
    </w:p>
    <w:p w14:paraId="3328FC87" w14:textId="77777777" w:rsidR="000E1BDB" w:rsidRDefault="000E1BDB" w:rsidP="00B42A68"/>
    <w:p w14:paraId="3328FC88" w14:textId="73F5682B" w:rsidR="000E1BDB" w:rsidRPr="00B42A68" w:rsidRDefault="000E1BDB" w:rsidP="00B42A68">
      <w:r>
        <w:t>The individual who can serve on the work group is Linear</w:t>
      </w:r>
      <w:r w:rsidR="0023358F">
        <w:t xml:space="preserve"> C.</w:t>
      </w:r>
      <w:r>
        <w:t xml:space="preserve"> Cherry,</w:t>
      </w:r>
      <w:r w:rsidR="0023358F">
        <w:t xml:space="preserve"> III,</w:t>
      </w:r>
      <w:r>
        <w:t xml:space="preserve"> Financial Analysis and Oversight </w:t>
      </w:r>
      <w:r w:rsidR="0023358F">
        <w:t>Branch</w:t>
      </w:r>
      <w:r>
        <w:t xml:space="preserve">, email: </w:t>
      </w:r>
      <w:hyperlink r:id="rId11" w:history="1">
        <w:r w:rsidRPr="00007C7C">
          <w:rPr>
            <w:rStyle w:val="Hyperlink"/>
          </w:rPr>
          <w:t>cherry.linear@epa.gov</w:t>
        </w:r>
      </w:hyperlink>
      <w:r>
        <w:t>: (202) 564-4403.</w:t>
      </w:r>
    </w:p>
    <w:p w14:paraId="3328FC89" w14:textId="77777777" w:rsidR="00B42A68" w:rsidRPr="00B42A68" w:rsidRDefault="00B42A68" w:rsidP="00B42A68"/>
    <w:p w14:paraId="3328FC8A" w14:textId="77777777" w:rsidR="00F736ED" w:rsidRPr="00B42A68" w:rsidRDefault="00F736ED" w:rsidP="00B42A68"/>
    <w:p w14:paraId="3328FC8B" w14:textId="77777777" w:rsidR="00334AFB" w:rsidRPr="00B14BD0" w:rsidRDefault="00334AFB" w:rsidP="00B14BD0">
      <w:pPr>
        <w:spacing w:after="200" w:line="276" w:lineRule="auto"/>
        <w:rPr>
          <w:u w:val="single"/>
        </w:rPr>
      </w:pPr>
    </w:p>
    <w:sectPr w:rsidR="00334AFB" w:rsidRPr="00B14BD0" w:rsidSect="001952E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7A33D" w14:textId="77777777" w:rsidR="00CC4B67" w:rsidRDefault="00CC4B67" w:rsidP="0001089C">
      <w:r>
        <w:separator/>
      </w:r>
    </w:p>
  </w:endnote>
  <w:endnote w:type="continuationSeparator" w:id="0">
    <w:p w14:paraId="5CC57300" w14:textId="77777777" w:rsidR="00CC4B67" w:rsidRDefault="00CC4B67" w:rsidP="0001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816056"/>
      <w:docPartObj>
        <w:docPartGallery w:val="Page Numbers (Bottom of Page)"/>
        <w:docPartUnique/>
      </w:docPartObj>
    </w:sdtPr>
    <w:sdtEndPr>
      <w:rPr>
        <w:noProof/>
      </w:rPr>
    </w:sdtEndPr>
    <w:sdtContent>
      <w:p w14:paraId="3328FC91" w14:textId="6C2A1CD2" w:rsidR="0049448B" w:rsidRDefault="001952EF">
        <w:pPr>
          <w:pStyle w:val="Footer"/>
          <w:jc w:val="center"/>
        </w:pPr>
        <w:r>
          <w:fldChar w:fldCharType="begin"/>
        </w:r>
        <w:r>
          <w:instrText xml:space="preserve"> PAGE   \* MERGEFORMAT </w:instrText>
        </w:r>
        <w:r>
          <w:fldChar w:fldCharType="separate"/>
        </w:r>
        <w:r w:rsidR="00614665">
          <w:rPr>
            <w:noProof/>
          </w:rPr>
          <w:t>1</w:t>
        </w:r>
        <w:r>
          <w:fldChar w:fldCharType="end"/>
        </w:r>
      </w:p>
    </w:sdtContent>
  </w:sdt>
  <w:p w14:paraId="3328FC92" w14:textId="77777777" w:rsidR="0049448B" w:rsidRDefault="00494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5F24" w14:textId="77777777" w:rsidR="00CC4B67" w:rsidRDefault="00CC4B67" w:rsidP="0001089C">
      <w:r>
        <w:separator/>
      </w:r>
    </w:p>
  </w:footnote>
  <w:footnote w:type="continuationSeparator" w:id="0">
    <w:p w14:paraId="19C3CF15" w14:textId="77777777" w:rsidR="00CC4B67" w:rsidRDefault="00CC4B67" w:rsidP="00010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01F7C"/>
    <w:multiLevelType w:val="hybridMultilevel"/>
    <w:tmpl w:val="06C4E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F96773"/>
    <w:multiLevelType w:val="hybridMultilevel"/>
    <w:tmpl w:val="0EDEC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BAE162C"/>
    <w:multiLevelType w:val="hybridMultilevel"/>
    <w:tmpl w:val="B07C20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125DBA"/>
    <w:multiLevelType w:val="hybridMultilevel"/>
    <w:tmpl w:val="E4F6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BF"/>
    <w:rsid w:val="00006389"/>
    <w:rsid w:val="0001089C"/>
    <w:rsid w:val="00047F3F"/>
    <w:rsid w:val="000502B1"/>
    <w:rsid w:val="000D21DB"/>
    <w:rsid w:val="000D4826"/>
    <w:rsid w:val="000E1BDB"/>
    <w:rsid w:val="000E4A37"/>
    <w:rsid w:val="00156AE5"/>
    <w:rsid w:val="001952EF"/>
    <w:rsid w:val="001B074A"/>
    <w:rsid w:val="001C6D6C"/>
    <w:rsid w:val="001D741A"/>
    <w:rsid w:val="001E1753"/>
    <w:rsid w:val="0023358F"/>
    <w:rsid w:val="00242329"/>
    <w:rsid w:val="002475CF"/>
    <w:rsid w:val="002514E7"/>
    <w:rsid w:val="00253C8E"/>
    <w:rsid w:val="00290772"/>
    <w:rsid w:val="002B45C1"/>
    <w:rsid w:val="002C1F64"/>
    <w:rsid w:val="00334AFB"/>
    <w:rsid w:val="00353871"/>
    <w:rsid w:val="003B38EE"/>
    <w:rsid w:val="0040430F"/>
    <w:rsid w:val="00440F5A"/>
    <w:rsid w:val="00471C59"/>
    <w:rsid w:val="0047351B"/>
    <w:rsid w:val="0049448B"/>
    <w:rsid w:val="004A5351"/>
    <w:rsid w:val="004E2CB0"/>
    <w:rsid w:val="00531DE3"/>
    <w:rsid w:val="0056256D"/>
    <w:rsid w:val="00581063"/>
    <w:rsid w:val="00595755"/>
    <w:rsid w:val="005B7E2C"/>
    <w:rsid w:val="005C30FC"/>
    <w:rsid w:val="005C51E6"/>
    <w:rsid w:val="005F23D7"/>
    <w:rsid w:val="005F2565"/>
    <w:rsid w:val="005F45E0"/>
    <w:rsid w:val="00614665"/>
    <w:rsid w:val="00615A9F"/>
    <w:rsid w:val="00633740"/>
    <w:rsid w:val="0064164D"/>
    <w:rsid w:val="00641984"/>
    <w:rsid w:val="006609E8"/>
    <w:rsid w:val="0066238D"/>
    <w:rsid w:val="006A06E0"/>
    <w:rsid w:val="006A2E41"/>
    <w:rsid w:val="006C5CEE"/>
    <w:rsid w:val="006F14AB"/>
    <w:rsid w:val="006F22AF"/>
    <w:rsid w:val="007125CF"/>
    <w:rsid w:val="00714946"/>
    <w:rsid w:val="0071675F"/>
    <w:rsid w:val="007519A6"/>
    <w:rsid w:val="00776591"/>
    <w:rsid w:val="007C2AAC"/>
    <w:rsid w:val="00811394"/>
    <w:rsid w:val="00827D0D"/>
    <w:rsid w:val="0084068D"/>
    <w:rsid w:val="008528BF"/>
    <w:rsid w:val="008A5FE7"/>
    <w:rsid w:val="008A60C4"/>
    <w:rsid w:val="008B47C2"/>
    <w:rsid w:val="008E0E42"/>
    <w:rsid w:val="008E7C2C"/>
    <w:rsid w:val="00911E58"/>
    <w:rsid w:val="00972473"/>
    <w:rsid w:val="0097719D"/>
    <w:rsid w:val="009779B7"/>
    <w:rsid w:val="009F0ECB"/>
    <w:rsid w:val="009F72CB"/>
    <w:rsid w:val="00A853D8"/>
    <w:rsid w:val="00A96513"/>
    <w:rsid w:val="00AA3C47"/>
    <w:rsid w:val="00AA5FEC"/>
    <w:rsid w:val="00AB46E9"/>
    <w:rsid w:val="00AC0CCD"/>
    <w:rsid w:val="00AD554E"/>
    <w:rsid w:val="00B14BD0"/>
    <w:rsid w:val="00B42A68"/>
    <w:rsid w:val="00C018FA"/>
    <w:rsid w:val="00C74686"/>
    <w:rsid w:val="00C7613F"/>
    <w:rsid w:val="00C91D3D"/>
    <w:rsid w:val="00CA6472"/>
    <w:rsid w:val="00CC4B67"/>
    <w:rsid w:val="00CE3FDD"/>
    <w:rsid w:val="00D22EC1"/>
    <w:rsid w:val="00DA0132"/>
    <w:rsid w:val="00DA5076"/>
    <w:rsid w:val="00DB4034"/>
    <w:rsid w:val="00DE3DF4"/>
    <w:rsid w:val="00DE7577"/>
    <w:rsid w:val="00E1682D"/>
    <w:rsid w:val="00E27C4E"/>
    <w:rsid w:val="00E64B61"/>
    <w:rsid w:val="00E72422"/>
    <w:rsid w:val="00E72D08"/>
    <w:rsid w:val="00E7422D"/>
    <w:rsid w:val="00ED156F"/>
    <w:rsid w:val="00EE140B"/>
    <w:rsid w:val="00F06BBF"/>
    <w:rsid w:val="00F27440"/>
    <w:rsid w:val="00F54976"/>
    <w:rsid w:val="00F736ED"/>
    <w:rsid w:val="00F83BF9"/>
    <w:rsid w:val="00F92DB8"/>
    <w:rsid w:val="00F96040"/>
    <w:rsid w:val="00FB0D10"/>
    <w:rsid w:val="00FB0DEF"/>
    <w:rsid w:val="00FB5278"/>
    <w:rsid w:val="00FE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8FC23"/>
  <w15:docId w15:val="{10BE17D7-5637-4209-A312-97D4828E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B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6B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89C"/>
    <w:pPr>
      <w:ind w:left="720"/>
      <w:contextualSpacing/>
    </w:pPr>
  </w:style>
  <w:style w:type="paragraph" w:styleId="FootnoteText">
    <w:name w:val="footnote text"/>
    <w:basedOn w:val="Normal"/>
    <w:link w:val="FootnoteTextChar"/>
    <w:uiPriority w:val="99"/>
    <w:semiHidden/>
    <w:unhideWhenUsed/>
    <w:rsid w:val="0001089C"/>
    <w:rPr>
      <w:sz w:val="20"/>
      <w:szCs w:val="20"/>
    </w:rPr>
  </w:style>
  <w:style w:type="character" w:customStyle="1" w:styleId="FootnoteTextChar">
    <w:name w:val="Footnote Text Char"/>
    <w:basedOn w:val="DefaultParagraphFont"/>
    <w:link w:val="FootnoteText"/>
    <w:uiPriority w:val="99"/>
    <w:semiHidden/>
    <w:rsid w:val="000108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1089C"/>
    <w:rPr>
      <w:vertAlign w:val="superscript"/>
    </w:rPr>
  </w:style>
  <w:style w:type="paragraph" w:styleId="BodyText">
    <w:name w:val="Body Text"/>
    <w:basedOn w:val="Normal"/>
    <w:link w:val="BodyTextChar"/>
    <w:rsid w:val="00F736ED"/>
    <w:pPr>
      <w:spacing w:after="284" w:line="280" w:lineRule="atLeast"/>
    </w:pPr>
    <w:rPr>
      <w:rFonts w:ascii="Garamond" w:hAnsi="Garamond" w:cs="Arial"/>
      <w:sz w:val="22"/>
      <w:szCs w:val="20"/>
    </w:rPr>
  </w:style>
  <w:style w:type="character" w:customStyle="1" w:styleId="BodyTextChar">
    <w:name w:val="Body Text Char"/>
    <w:basedOn w:val="DefaultParagraphFont"/>
    <w:link w:val="BodyText"/>
    <w:rsid w:val="00F736ED"/>
    <w:rPr>
      <w:rFonts w:ascii="Garamond" w:eastAsia="Times New Roman" w:hAnsi="Garamond" w:cs="Arial"/>
      <w:szCs w:val="20"/>
    </w:rPr>
  </w:style>
  <w:style w:type="paragraph" w:styleId="Title">
    <w:name w:val="Title"/>
    <w:basedOn w:val="Normal"/>
    <w:next w:val="BodyText"/>
    <w:link w:val="TitleChar"/>
    <w:qFormat/>
    <w:rsid w:val="00F736ED"/>
    <w:pPr>
      <w:spacing w:before="400" w:after="400" w:line="580" w:lineRule="atLeast"/>
      <w:outlineLvl w:val="0"/>
    </w:pPr>
    <w:rPr>
      <w:rFonts w:ascii="Garamond" w:hAnsi="Garamond" w:cs="Arial"/>
      <w:bCs/>
      <w:kern w:val="28"/>
      <w:sz w:val="66"/>
      <w:szCs w:val="32"/>
    </w:rPr>
  </w:style>
  <w:style w:type="character" w:customStyle="1" w:styleId="TitleChar">
    <w:name w:val="Title Char"/>
    <w:basedOn w:val="DefaultParagraphFont"/>
    <w:link w:val="Title"/>
    <w:rsid w:val="00F736ED"/>
    <w:rPr>
      <w:rFonts w:ascii="Garamond" w:eastAsia="Times New Roman" w:hAnsi="Garamond" w:cs="Arial"/>
      <w:bCs/>
      <w:kern w:val="28"/>
      <w:sz w:val="66"/>
      <w:szCs w:val="32"/>
    </w:rPr>
  </w:style>
  <w:style w:type="paragraph" w:styleId="Subtitle">
    <w:name w:val="Subtitle"/>
    <w:link w:val="SubtitleChar"/>
    <w:qFormat/>
    <w:rsid w:val="00F736ED"/>
    <w:pPr>
      <w:spacing w:after="0" w:line="280" w:lineRule="atLeast"/>
      <w:outlineLvl w:val="1"/>
    </w:pPr>
    <w:rPr>
      <w:rFonts w:ascii="Arial" w:eastAsia="Times New Roman" w:hAnsi="Arial" w:cs="Arial"/>
      <w:bCs/>
      <w:kern w:val="28"/>
      <w:sz w:val="24"/>
      <w:szCs w:val="24"/>
    </w:rPr>
  </w:style>
  <w:style w:type="character" w:customStyle="1" w:styleId="SubtitleChar">
    <w:name w:val="Subtitle Char"/>
    <w:basedOn w:val="DefaultParagraphFont"/>
    <w:link w:val="Subtitle"/>
    <w:rsid w:val="00F736ED"/>
    <w:rPr>
      <w:rFonts w:ascii="Arial" w:eastAsia="Times New Roman" w:hAnsi="Arial" w:cs="Arial"/>
      <w:bCs/>
      <w:kern w:val="28"/>
      <w:sz w:val="24"/>
      <w:szCs w:val="24"/>
    </w:rPr>
  </w:style>
  <w:style w:type="paragraph" w:customStyle="1" w:styleId="Contents">
    <w:name w:val="Contents"/>
    <w:next w:val="Normal"/>
    <w:rsid w:val="00F736ED"/>
    <w:pPr>
      <w:spacing w:after="2520" w:line="580" w:lineRule="atLeast"/>
    </w:pPr>
    <w:rPr>
      <w:rFonts w:ascii="Garamond" w:eastAsia="Times New Roman" w:hAnsi="Garamond" w:cs="Arial"/>
      <w:sz w:val="48"/>
      <w:szCs w:val="20"/>
    </w:rPr>
  </w:style>
  <w:style w:type="paragraph" w:styleId="BalloonText">
    <w:name w:val="Balloon Text"/>
    <w:basedOn w:val="Normal"/>
    <w:link w:val="BalloonTextChar"/>
    <w:uiPriority w:val="99"/>
    <w:semiHidden/>
    <w:unhideWhenUsed/>
    <w:rsid w:val="00F736ED"/>
    <w:rPr>
      <w:rFonts w:ascii="Tahoma" w:hAnsi="Tahoma" w:cs="Tahoma"/>
      <w:sz w:val="16"/>
      <w:szCs w:val="16"/>
    </w:rPr>
  </w:style>
  <w:style w:type="character" w:customStyle="1" w:styleId="BalloonTextChar">
    <w:name w:val="Balloon Text Char"/>
    <w:basedOn w:val="DefaultParagraphFont"/>
    <w:link w:val="BalloonText"/>
    <w:uiPriority w:val="99"/>
    <w:semiHidden/>
    <w:rsid w:val="00F736ED"/>
    <w:rPr>
      <w:rFonts w:ascii="Tahoma" w:eastAsia="Times New Roman" w:hAnsi="Tahoma" w:cs="Tahoma"/>
      <w:sz w:val="16"/>
      <w:szCs w:val="16"/>
    </w:rPr>
  </w:style>
  <w:style w:type="character" w:styleId="Hyperlink">
    <w:name w:val="Hyperlink"/>
    <w:basedOn w:val="DefaultParagraphFont"/>
    <w:uiPriority w:val="99"/>
    <w:unhideWhenUsed/>
    <w:rsid w:val="000E1BDB"/>
    <w:rPr>
      <w:color w:val="0000FF" w:themeColor="hyperlink"/>
      <w:u w:val="single"/>
    </w:rPr>
  </w:style>
  <w:style w:type="paragraph" w:styleId="Header">
    <w:name w:val="header"/>
    <w:basedOn w:val="Normal"/>
    <w:link w:val="HeaderChar"/>
    <w:uiPriority w:val="99"/>
    <w:unhideWhenUsed/>
    <w:rsid w:val="0049448B"/>
    <w:pPr>
      <w:tabs>
        <w:tab w:val="center" w:pos="4680"/>
        <w:tab w:val="right" w:pos="9360"/>
      </w:tabs>
    </w:pPr>
  </w:style>
  <w:style w:type="character" w:customStyle="1" w:styleId="HeaderChar">
    <w:name w:val="Header Char"/>
    <w:basedOn w:val="DefaultParagraphFont"/>
    <w:link w:val="Header"/>
    <w:uiPriority w:val="99"/>
    <w:rsid w:val="004944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448B"/>
    <w:pPr>
      <w:tabs>
        <w:tab w:val="center" w:pos="4680"/>
        <w:tab w:val="right" w:pos="9360"/>
      </w:tabs>
    </w:pPr>
  </w:style>
  <w:style w:type="character" w:customStyle="1" w:styleId="FooterChar">
    <w:name w:val="Footer Char"/>
    <w:basedOn w:val="DefaultParagraphFont"/>
    <w:link w:val="Footer"/>
    <w:uiPriority w:val="99"/>
    <w:rsid w:val="004944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ry.linear@epa.go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2D039-9B9B-4082-B0D6-6F89AB3E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FY 2021 Planned Analysis Service Contract Inventory</vt:lpstr>
    </vt:vector>
  </TitlesOfParts>
  <Manager>USEPA/OMS/OAS</Manager>
  <Company>USEPA/OMS/OAS</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2021 Planned Analysis Service Contract Inventory</dc:title>
  <dc:subject>FY 2021 Planned Analysis Service Contract Inventory</dc:subject>
  <dc:creator>USEPA/OMS/OAS</dc:creator>
  <cp:keywords>FY 2021 Planned Analysis Service Contract Inventory</cp:keywords>
  <dc:description>FY 2021 Planned Analysis Service Contract Inventory</dc:description>
  <cp:lastModifiedBy>Creed, Suzette</cp:lastModifiedBy>
  <cp:revision>4</cp:revision>
  <cp:lastPrinted>2020-02-18T14:33:00Z</cp:lastPrinted>
  <dcterms:created xsi:type="dcterms:W3CDTF">2022-08-31T14:11:00Z</dcterms:created>
  <dcterms:modified xsi:type="dcterms:W3CDTF">2022-08-31T14:17:00Z</dcterms:modified>
  <cp:category>FY 2021 Planned Analysis Service Contract Inventory</cp:category>
</cp:coreProperties>
</file>