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1177C" w14:textId="5CCE4878" w:rsidR="00670C9F" w:rsidRPr="009C0D9A" w:rsidRDefault="0021727F" w:rsidP="009C0D9A">
      <w:pPr>
        <w:pStyle w:val="Title"/>
        <w:rPr>
          <w:b/>
          <w:sz w:val="40"/>
          <w:szCs w:val="40"/>
        </w:rPr>
      </w:pPr>
      <w:r>
        <w:rPr>
          <w:b/>
          <w:sz w:val="40"/>
          <w:szCs w:val="40"/>
        </w:rPr>
        <w:t xml:space="preserve">Introduction: </w:t>
      </w:r>
      <w:r w:rsidR="00CC5372">
        <w:rPr>
          <w:b/>
          <w:sz w:val="40"/>
          <w:szCs w:val="40"/>
        </w:rPr>
        <w:t xml:space="preserve">U.S. EPA </w:t>
      </w:r>
      <w:r w:rsidR="009C0D9A" w:rsidRPr="009C0D9A">
        <w:rPr>
          <w:b/>
          <w:sz w:val="40"/>
          <w:szCs w:val="40"/>
        </w:rPr>
        <w:t>Toolkit for Building National GHG Inventory Systems</w:t>
      </w:r>
    </w:p>
    <w:p w14:paraId="68F2D9F6" w14:textId="77777777" w:rsidR="00543E89" w:rsidRDefault="00543E89" w:rsidP="00A62535">
      <w:pPr>
        <w:pStyle w:val="Heading1"/>
        <w:rPr>
          <w:lang w:val="en-GB" w:eastAsia="zh-CN"/>
        </w:rPr>
      </w:pPr>
      <w:r w:rsidRPr="00A62535">
        <w:t>Purpose</w:t>
      </w:r>
    </w:p>
    <w:p w14:paraId="615F0C13" w14:textId="6458598D" w:rsidR="00DE6FF2" w:rsidRPr="002F33DB" w:rsidRDefault="009C0D9A" w:rsidP="00DE6FF2">
      <w:pPr>
        <w:autoSpaceDE w:val="0"/>
        <w:autoSpaceDN w:val="0"/>
        <w:adjustRightInd w:val="0"/>
        <w:spacing w:after="0" w:line="240" w:lineRule="auto"/>
        <w:rPr>
          <w:rFonts w:cstheme="minorHAnsi"/>
        </w:rPr>
      </w:pPr>
      <w:r>
        <w:rPr>
          <w:lang w:val="en-GB" w:eastAsia="zh-CN"/>
        </w:rPr>
        <w:t xml:space="preserve">This toolkit </w:t>
      </w:r>
      <w:r w:rsidR="00213F91">
        <w:rPr>
          <w:lang w:val="en-GB" w:eastAsia="zh-CN"/>
        </w:rPr>
        <w:t xml:space="preserve">is </w:t>
      </w:r>
      <w:r>
        <w:rPr>
          <w:lang w:val="en-GB" w:eastAsia="zh-CN"/>
        </w:rPr>
        <w:t>designed</w:t>
      </w:r>
      <w:r w:rsidR="00172826">
        <w:rPr>
          <w:lang w:val="en-GB" w:eastAsia="zh-CN"/>
        </w:rPr>
        <w:t xml:space="preserve"> to help</w:t>
      </w:r>
      <w:r w:rsidRPr="00BA5B87">
        <w:rPr>
          <w:lang w:val="en-GB" w:eastAsia="zh-CN"/>
        </w:rPr>
        <w:t xml:space="preserve"> </w:t>
      </w:r>
      <w:r>
        <w:rPr>
          <w:lang w:val="en-GB" w:eastAsia="zh-CN"/>
        </w:rPr>
        <w:t xml:space="preserve">the </w:t>
      </w:r>
      <w:r w:rsidR="0068114B">
        <w:rPr>
          <w:lang w:val="en-GB" w:eastAsia="zh-CN"/>
        </w:rPr>
        <w:t xml:space="preserve">national </w:t>
      </w:r>
      <w:r w:rsidR="00CB01DE">
        <w:rPr>
          <w:lang w:val="en-GB" w:eastAsia="zh-CN"/>
        </w:rPr>
        <w:t>greenhouse gas (</w:t>
      </w:r>
      <w:r w:rsidR="0068114B">
        <w:rPr>
          <w:lang w:val="en-GB" w:eastAsia="zh-CN"/>
        </w:rPr>
        <w:t>GHG</w:t>
      </w:r>
      <w:r w:rsidR="00CB01DE">
        <w:rPr>
          <w:lang w:val="en-GB" w:eastAsia="zh-CN"/>
        </w:rPr>
        <w:t>)</w:t>
      </w:r>
      <w:r w:rsidR="0068114B">
        <w:rPr>
          <w:lang w:val="en-GB" w:eastAsia="zh-CN"/>
        </w:rPr>
        <w:t xml:space="preserve"> inventory coordination </w:t>
      </w:r>
      <w:r w:rsidR="00C23E16">
        <w:rPr>
          <w:lang w:val="en-GB" w:eastAsia="zh-CN"/>
        </w:rPr>
        <w:t>team (i.e.</w:t>
      </w:r>
      <w:r w:rsidR="00CC5372">
        <w:rPr>
          <w:lang w:val="en-GB" w:eastAsia="zh-CN"/>
        </w:rPr>
        <w:t>,</w:t>
      </w:r>
      <w:r w:rsidR="00C23E16">
        <w:rPr>
          <w:lang w:val="en-GB" w:eastAsia="zh-CN"/>
        </w:rPr>
        <w:t xml:space="preserve"> </w:t>
      </w:r>
      <w:r w:rsidR="00213F91">
        <w:rPr>
          <w:lang w:val="en-GB" w:eastAsia="zh-CN"/>
        </w:rPr>
        <w:t xml:space="preserve">National </w:t>
      </w:r>
      <w:r w:rsidR="00E04737">
        <w:rPr>
          <w:lang w:val="en-GB" w:eastAsia="zh-CN"/>
        </w:rPr>
        <w:t xml:space="preserve">GHG </w:t>
      </w:r>
      <w:r w:rsidR="00213F91">
        <w:rPr>
          <w:lang w:val="en-GB" w:eastAsia="zh-CN"/>
        </w:rPr>
        <w:t>Inventory Coordinator (</w:t>
      </w:r>
      <w:r>
        <w:rPr>
          <w:lang w:val="en-GB" w:eastAsia="zh-CN"/>
        </w:rPr>
        <w:t>NIC</w:t>
      </w:r>
      <w:r w:rsidR="009245DA">
        <w:rPr>
          <w:lang w:val="en-GB" w:eastAsia="zh-CN"/>
        </w:rPr>
        <w:t>)</w:t>
      </w:r>
      <w:r>
        <w:rPr>
          <w:lang w:val="en-GB" w:eastAsia="zh-CN"/>
        </w:rPr>
        <w:t xml:space="preserve"> and </w:t>
      </w:r>
      <w:r w:rsidRPr="00BA5B87">
        <w:rPr>
          <w:lang w:val="en-GB" w:eastAsia="zh-CN"/>
        </w:rPr>
        <w:t xml:space="preserve">key </w:t>
      </w:r>
      <w:r>
        <w:rPr>
          <w:lang w:val="en-GB" w:eastAsia="zh-CN"/>
        </w:rPr>
        <w:t>inventory team</w:t>
      </w:r>
      <w:r w:rsidRPr="00BA5B87">
        <w:rPr>
          <w:lang w:val="en-GB" w:eastAsia="zh-CN"/>
        </w:rPr>
        <w:t xml:space="preserve"> member</w:t>
      </w:r>
      <w:r>
        <w:rPr>
          <w:lang w:val="en-GB" w:eastAsia="zh-CN"/>
        </w:rPr>
        <w:t>s</w:t>
      </w:r>
      <w:r w:rsidR="00C23E16">
        <w:rPr>
          <w:lang w:val="en-GB" w:eastAsia="zh-CN"/>
        </w:rPr>
        <w:t>)</w:t>
      </w:r>
      <w:r w:rsidRPr="00BA5B87">
        <w:rPr>
          <w:lang w:val="en-GB" w:eastAsia="zh-CN"/>
        </w:rPr>
        <w:t xml:space="preserve"> </w:t>
      </w:r>
      <w:r>
        <w:rPr>
          <w:lang w:val="en-GB" w:eastAsia="zh-CN"/>
        </w:rPr>
        <w:t xml:space="preserve">develop and </w:t>
      </w:r>
      <w:r w:rsidR="006B33A3">
        <w:rPr>
          <w:lang w:val="en-GB" w:eastAsia="zh-CN"/>
        </w:rPr>
        <w:t>advance</w:t>
      </w:r>
      <w:r>
        <w:rPr>
          <w:lang w:val="en-GB" w:eastAsia="zh-CN"/>
        </w:rPr>
        <w:t xml:space="preserve"> their</w:t>
      </w:r>
      <w:r w:rsidR="00213F91">
        <w:rPr>
          <w:lang w:val="en-GB" w:eastAsia="zh-CN"/>
        </w:rPr>
        <w:t xml:space="preserve"> country’s</w:t>
      </w:r>
      <w:r w:rsidRPr="00BA5B87">
        <w:rPr>
          <w:lang w:val="en-GB" w:eastAsia="zh-CN"/>
        </w:rPr>
        <w:t xml:space="preserve"> national GHG inventory </w:t>
      </w:r>
      <w:r w:rsidR="000A2D5E">
        <w:rPr>
          <w:lang w:val="en-GB" w:eastAsia="zh-CN"/>
        </w:rPr>
        <w:t xml:space="preserve">management </w:t>
      </w:r>
      <w:r w:rsidRPr="00BA5B87">
        <w:rPr>
          <w:lang w:val="en-GB" w:eastAsia="zh-CN"/>
        </w:rPr>
        <w:t>system.</w:t>
      </w:r>
      <w:r w:rsidR="00513D9F" w:rsidRPr="00513D9F">
        <w:t xml:space="preserve"> </w:t>
      </w:r>
      <w:r w:rsidR="00213F91">
        <w:t>Establishing a system to</w:t>
      </w:r>
      <w:r w:rsidR="00513D9F" w:rsidRPr="00B279CC">
        <w:t xml:space="preserve"> </w:t>
      </w:r>
      <w:r w:rsidR="00545360" w:rsidRPr="00E56AE3">
        <w:t>compile and</w:t>
      </w:r>
      <w:r w:rsidR="00545360">
        <w:t xml:space="preserve"> improve the</w:t>
      </w:r>
      <w:r w:rsidR="00213F91">
        <w:t xml:space="preserve"> national GHG inventory may seem difficult and complex</w:t>
      </w:r>
      <w:r w:rsidR="000A2D5E">
        <w:t>; however, it does not need to be</w:t>
      </w:r>
      <w:r w:rsidR="007F5BF4">
        <w:t>.</w:t>
      </w:r>
      <w:r w:rsidR="000A2D5E">
        <w:t xml:space="preserve"> </w:t>
      </w:r>
      <w:r w:rsidR="007F5BF4">
        <w:t>T</w:t>
      </w:r>
      <w:r w:rsidR="000A2D5E">
        <w:t xml:space="preserve">his toolkit aims to make </w:t>
      </w:r>
      <w:r w:rsidR="008C1A71">
        <w:t>the process</w:t>
      </w:r>
      <w:r w:rsidR="000A2D5E">
        <w:t xml:space="preserve"> easier and clearer</w:t>
      </w:r>
      <w:r w:rsidR="006B33A3">
        <w:t>. I</w:t>
      </w:r>
      <w:r w:rsidR="00A27496">
        <w:t>t is an iterativ</w:t>
      </w:r>
      <w:r w:rsidR="008C1A71">
        <w:t>e and learning-by-doing process.</w:t>
      </w:r>
      <w:r w:rsidR="00A27496">
        <w:t xml:space="preserve"> </w:t>
      </w:r>
      <w:r w:rsidR="008C1A71">
        <w:t>W</w:t>
      </w:r>
      <w:r w:rsidR="00513D9F" w:rsidRPr="00B279CC">
        <w:t xml:space="preserve">hen </w:t>
      </w:r>
      <w:r w:rsidR="00513D9F">
        <w:t>the inventory compilers</w:t>
      </w:r>
      <w:r w:rsidR="00513D9F" w:rsidRPr="00B279CC">
        <w:rPr>
          <w:lang w:val="en-GB" w:eastAsia="zh-CN"/>
        </w:rPr>
        <w:t xml:space="preserve"> maximize the use of supporting resources</w:t>
      </w:r>
      <w:r w:rsidR="008C1A71">
        <w:t>, e</w:t>
      </w:r>
      <w:r w:rsidR="00A27496">
        <w:rPr>
          <w:rFonts w:cstheme="minorHAnsi"/>
        </w:rPr>
        <w:t>ach new inventory</w:t>
      </w:r>
      <w:r w:rsidR="00DE6FF2">
        <w:rPr>
          <w:rFonts w:cstheme="minorHAnsi"/>
        </w:rPr>
        <w:t xml:space="preserve"> </w:t>
      </w:r>
      <w:r w:rsidR="000A2D5E">
        <w:rPr>
          <w:rFonts w:cstheme="minorHAnsi"/>
        </w:rPr>
        <w:t xml:space="preserve">will </w:t>
      </w:r>
      <w:r w:rsidR="00DE6FF2">
        <w:rPr>
          <w:rFonts w:cstheme="minorHAnsi"/>
        </w:rPr>
        <w:t>build on and improv</w:t>
      </w:r>
      <w:r w:rsidR="00A27496">
        <w:rPr>
          <w:rFonts w:cstheme="minorHAnsi"/>
        </w:rPr>
        <w:t>e</w:t>
      </w:r>
      <w:r w:rsidR="00DE6FF2">
        <w:rPr>
          <w:rFonts w:cstheme="minorHAnsi"/>
        </w:rPr>
        <w:t xml:space="preserve"> </w:t>
      </w:r>
      <w:r w:rsidR="00A27496">
        <w:rPr>
          <w:rFonts w:cstheme="minorHAnsi"/>
        </w:rPr>
        <w:t>in quality from</w:t>
      </w:r>
      <w:r w:rsidR="00DE6FF2">
        <w:rPr>
          <w:rFonts w:cstheme="minorHAnsi"/>
        </w:rPr>
        <w:t xml:space="preserve"> </w:t>
      </w:r>
      <w:r w:rsidR="00DE6FF2" w:rsidRPr="00DE6FF2">
        <w:rPr>
          <w:rFonts w:cstheme="minorHAnsi"/>
        </w:rPr>
        <w:t xml:space="preserve">previous inventories. </w:t>
      </w:r>
      <w:r w:rsidR="001927DE">
        <w:rPr>
          <w:rFonts w:cstheme="minorHAnsi"/>
        </w:rPr>
        <w:t xml:space="preserve"> </w:t>
      </w:r>
    </w:p>
    <w:p w14:paraId="7D5526A9" w14:textId="23BEEB8C" w:rsidR="009C0D9A" w:rsidRPr="00513D9F" w:rsidRDefault="00513D9F" w:rsidP="00A62535">
      <w:pPr>
        <w:pStyle w:val="Heading1"/>
      </w:pPr>
      <w:r w:rsidRPr="00513D9F">
        <w:t>GHG Inventory Management Systems</w:t>
      </w:r>
      <w:r w:rsidR="00A27496">
        <w:t xml:space="preserve"> and </w:t>
      </w:r>
      <w:r w:rsidR="008C1A71">
        <w:t xml:space="preserve">the </w:t>
      </w:r>
      <w:r w:rsidR="00A27496">
        <w:t>Inventory Compilation Cycle</w:t>
      </w:r>
    </w:p>
    <w:p w14:paraId="45B28EB1" w14:textId="1563C24E" w:rsidR="006E6882" w:rsidRPr="00984CC9" w:rsidRDefault="007F61E6" w:rsidP="00984CC9">
      <w:pPr>
        <w:autoSpaceDE w:val="0"/>
        <w:autoSpaceDN w:val="0"/>
        <w:adjustRightInd w:val="0"/>
        <w:spacing w:after="0" w:line="240" w:lineRule="auto"/>
        <w:rPr>
          <w:lang w:val="en-GB" w:eastAsia="zh-CN"/>
        </w:rPr>
      </w:pPr>
      <w:r w:rsidRPr="00984CC9">
        <w:rPr>
          <w:lang w:val="en-GB" w:eastAsia="zh-CN"/>
        </w:rPr>
        <w:t>The</w:t>
      </w:r>
      <w:r w:rsidR="00513D9F" w:rsidRPr="00984CC9">
        <w:rPr>
          <w:lang w:val="en-GB" w:eastAsia="zh-CN"/>
        </w:rPr>
        <w:t xml:space="preserve"> National </w:t>
      </w:r>
      <w:r w:rsidR="00213F91" w:rsidRPr="00984CC9">
        <w:rPr>
          <w:lang w:val="en-GB" w:eastAsia="zh-CN"/>
        </w:rPr>
        <w:t xml:space="preserve">GHG </w:t>
      </w:r>
      <w:r w:rsidR="00513D9F" w:rsidRPr="00984CC9">
        <w:rPr>
          <w:lang w:val="en-GB" w:eastAsia="zh-CN"/>
        </w:rPr>
        <w:t>Inventory System</w:t>
      </w:r>
      <w:r w:rsidR="00213F91" w:rsidRPr="00984CC9">
        <w:rPr>
          <w:lang w:val="en-GB" w:eastAsia="zh-CN"/>
        </w:rPr>
        <w:t xml:space="preserve"> is a way to organize and structure</w:t>
      </w:r>
      <w:r w:rsidR="001E7740" w:rsidRPr="00984CC9">
        <w:rPr>
          <w:lang w:val="en-GB" w:eastAsia="zh-CN"/>
        </w:rPr>
        <w:t xml:space="preserve"> all the</w:t>
      </w:r>
      <w:r w:rsidR="00A27496" w:rsidRPr="00984CC9">
        <w:rPr>
          <w:lang w:val="en-GB" w:eastAsia="zh-CN"/>
        </w:rPr>
        <w:t xml:space="preserve"> steps and</w:t>
      </w:r>
      <w:r w:rsidR="001E7740" w:rsidRPr="00984CC9">
        <w:rPr>
          <w:lang w:val="en-GB" w:eastAsia="zh-CN"/>
        </w:rPr>
        <w:t xml:space="preserve"> elements needed to estimate, report, review, archive</w:t>
      </w:r>
      <w:r w:rsidR="00213F91" w:rsidRPr="00984CC9">
        <w:rPr>
          <w:lang w:val="en-GB" w:eastAsia="zh-CN"/>
        </w:rPr>
        <w:t>,</w:t>
      </w:r>
      <w:r w:rsidR="001E7740" w:rsidRPr="00984CC9">
        <w:rPr>
          <w:lang w:val="en-GB" w:eastAsia="zh-CN"/>
        </w:rPr>
        <w:t xml:space="preserve"> and improve estimates of GHG emissions and </w:t>
      </w:r>
      <w:r w:rsidR="00213F91" w:rsidRPr="00984CC9">
        <w:rPr>
          <w:lang w:val="en-GB" w:eastAsia="zh-CN"/>
        </w:rPr>
        <w:t>removals.</w:t>
      </w:r>
      <w:r w:rsidR="001E7740" w:rsidRPr="00984CC9">
        <w:rPr>
          <w:lang w:val="en-GB" w:eastAsia="zh-CN"/>
        </w:rPr>
        <w:t xml:space="preserve"> </w:t>
      </w:r>
      <w:r w:rsidR="00213F91" w:rsidRPr="00984CC9">
        <w:rPr>
          <w:lang w:val="en-GB" w:eastAsia="zh-CN"/>
        </w:rPr>
        <w:t xml:space="preserve">It </w:t>
      </w:r>
      <w:r w:rsidR="001E7740" w:rsidRPr="00984CC9">
        <w:rPr>
          <w:lang w:val="en-GB" w:eastAsia="zh-CN"/>
        </w:rPr>
        <w:t>includ</w:t>
      </w:r>
      <w:r w:rsidR="00213F91" w:rsidRPr="00984CC9">
        <w:rPr>
          <w:lang w:val="en-GB" w:eastAsia="zh-CN"/>
        </w:rPr>
        <w:t>es</w:t>
      </w:r>
      <w:r w:rsidR="001E7740" w:rsidRPr="00984CC9">
        <w:rPr>
          <w:lang w:val="en-GB" w:eastAsia="zh-CN"/>
        </w:rPr>
        <w:t xml:space="preserve"> institutional, legal, and procedural arrangements</w:t>
      </w:r>
      <w:r w:rsidR="00213F91" w:rsidRPr="00984CC9">
        <w:rPr>
          <w:lang w:val="en-GB" w:eastAsia="zh-CN"/>
        </w:rPr>
        <w:t xml:space="preserve"> that facilitate</w:t>
      </w:r>
      <w:r w:rsidR="00175E71" w:rsidRPr="00984CC9">
        <w:rPr>
          <w:lang w:val="en-GB" w:eastAsia="zh-CN"/>
        </w:rPr>
        <w:t xml:space="preserve"> management of</w:t>
      </w:r>
      <w:r w:rsidR="001E7740" w:rsidRPr="00984CC9">
        <w:rPr>
          <w:lang w:val="en-GB" w:eastAsia="zh-CN"/>
        </w:rPr>
        <w:t xml:space="preserve"> key inventory tasks</w:t>
      </w:r>
      <w:r w:rsidR="00175E71" w:rsidRPr="00984CC9">
        <w:rPr>
          <w:lang w:val="en-GB" w:eastAsia="zh-CN"/>
        </w:rPr>
        <w:t xml:space="preserve"> during</w:t>
      </w:r>
      <w:r w:rsidR="007F66C2" w:rsidRPr="00984CC9">
        <w:rPr>
          <w:lang w:val="en-GB" w:eastAsia="zh-CN"/>
        </w:rPr>
        <w:t xml:space="preserve"> the</w:t>
      </w:r>
      <w:r w:rsidR="00175E71" w:rsidRPr="00984CC9">
        <w:rPr>
          <w:lang w:val="en-GB" w:eastAsia="zh-CN"/>
        </w:rPr>
        <w:t xml:space="preserve"> inventory compilation process</w:t>
      </w:r>
      <w:r w:rsidR="00213F91" w:rsidRPr="00984CC9">
        <w:rPr>
          <w:lang w:val="en-GB" w:eastAsia="zh-CN"/>
        </w:rPr>
        <w:t xml:space="preserve"> like</w:t>
      </w:r>
      <w:r w:rsidR="001E7740" w:rsidRPr="00984CC9">
        <w:rPr>
          <w:lang w:val="en-GB" w:eastAsia="zh-CN"/>
        </w:rPr>
        <w:t xml:space="preserve"> planning, collecting</w:t>
      </w:r>
      <w:r w:rsidR="007F66C2" w:rsidRPr="00984CC9">
        <w:rPr>
          <w:lang w:val="en-GB" w:eastAsia="zh-CN"/>
        </w:rPr>
        <w:t xml:space="preserve"> and documenting information about</w:t>
      </w:r>
      <w:r w:rsidR="001E7740" w:rsidRPr="00984CC9">
        <w:rPr>
          <w:lang w:val="en-GB" w:eastAsia="zh-CN"/>
        </w:rPr>
        <w:t xml:space="preserve"> data, document</w:t>
      </w:r>
      <w:r w:rsidR="00213F91" w:rsidRPr="00984CC9">
        <w:rPr>
          <w:lang w:val="en-GB" w:eastAsia="zh-CN"/>
        </w:rPr>
        <w:t>ing steps</w:t>
      </w:r>
      <w:r w:rsidR="001E7740" w:rsidRPr="00984CC9">
        <w:rPr>
          <w:lang w:val="en-GB" w:eastAsia="zh-CN"/>
        </w:rPr>
        <w:t>, review</w:t>
      </w:r>
      <w:r w:rsidR="00213F91" w:rsidRPr="00984CC9">
        <w:rPr>
          <w:lang w:val="en-GB" w:eastAsia="zh-CN"/>
        </w:rPr>
        <w:t>ing</w:t>
      </w:r>
      <w:r w:rsidR="001E7740" w:rsidRPr="00984CC9">
        <w:rPr>
          <w:lang w:val="en-GB" w:eastAsia="zh-CN"/>
        </w:rPr>
        <w:t>, reporting</w:t>
      </w:r>
      <w:r w:rsidR="00213F91" w:rsidRPr="00984CC9">
        <w:rPr>
          <w:lang w:val="en-GB" w:eastAsia="zh-CN"/>
        </w:rPr>
        <w:t>,</w:t>
      </w:r>
      <w:r w:rsidR="00A36FCA" w:rsidRPr="00984CC9">
        <w:rPr>
          <w:lang w:val="en-GB" w:eastAsia="zh-CN"/>
        </w:rPr>
        <w:t xml:space="preserve"> archiving</w:t>
      </w:r>
      <w:r w:rsidR="002F33DB" w:rsidRPr="00984CC9">
        <w:rPr>
          <w:lang w:val="en-GB" w:eastAsia="zh-CN"/>
        </w:rPr>
        <w:t>,</w:t>
      </w:r>
      <w:r w:rsidR="00213F91" w:rsidRPr="00984CC9">
        <w:rPr>
          <w:lang w:val="en-GB" w:eastAsia="zh-CN"/>
        </w:rPr>
        <w:t xml:space="preserve"> and planning</w:t>
      </w:r>
      <w:r w:rsidR="001E7740" w:rsidRPr="00984CC9">
        <w:rPr>
          <w:lang w:val="en-GB" w:eastAsia="zh-CN"/>
        </w:rPr>
        <w:t xml:space="preserve"> improvement</w:t>
      </w:r>
      <w:r w:rsidR="00213F91" w:rsidRPr="00984CC9">
        <w:rPr>
          <w:lang w:val="en-GB" w:eastAsia="zh-CN"/>
        </w:rPr>
        <w:t>s</w:t>
      </w:r>
      <w:r w:rsidR="001E7740" w:rsidRPr="00984CC9">
        <w:rPr>
          <w:lang w:val="en-GB" w:eastAsia="zh-CN"/>
        </w:rPr>
        <w:t>.</w:t>
      </w:r>
      <w:r w:rsidR="007D3DB0" w:rsidRPr="00984CC9">
        <w:rPr>
          <w:vertAlign w:val="superscript"/>
          <w:lang w:val="en-GB" w:eastAsia="zh-CN"/>
        </w:rPr>
        <w:footnoteReference w:id="2"/>
      </w:r>
      <w:r w:rsidR="001E7740" w:rsidRPr="00984CC9">
        <w:rPr>
          <w:lang w:val="en-GB" w:eastAsia="zh-CN"/>
        </w:rPr>
        <w:t xml:space="preserve"> </w:t>
      </w:r>
      <w:r w:rsidR="002F33DB" w:rsidRPr="00984CC9">
        <w:rPr>
          <w:lang w:val="en-GB" w:eastAsia="zh-CN"/>
        </w:rPr>
        <w:t>Y</w:t>
      </w:r>
      <w:r w:rsidR="0015120E" w:rsidRPr="00984CC9">
        <w:rPr>
          <w:lang w:val="en-GB" w:eastAsia="zh-CN"/>
        </w:rPr>
        <w:t>our national GHG inventory system will allow you</w:t>
      </w:r>
      <w:r w:rsidR="007D3DB0" w:rsidRPr="00984CC9">
        <w:rPr>
          <w:lang w:val="en-GB" w:eastAsia="zh-CN"/>
        </w:rPr>
        <w:t xml:space="preserve"> to </w:t>
      </w:r>
      <w:r w:rsidR="00513D9F" w:rsidRPr="00984CC9">
        <w:rPr>
          <w:lang w:val="en-GB" w:eastAsia="zh-CN"/>
        </w:rPr>
        <w:t>transition</w:t>
      </w:r>
      <w:r w:rsidR="001E7740" w:rsidRPr="00984CC9">
        <w:rPr>
          <w:lang w:val="en-GB" w:eastAsia="zh-CN"/>
        </w:rPr>
        <w:t xml:space="preserve"> from a project-based </w:t>
      </w:r>
      <w:r w:rsidR="00513D9F" w:rsidRPr="00984CC9">
        <w:rPr>
          <w:lang w:val="en-GB" w:eastAsia="zh-CN"/>
        </w:rPr>
        <w:t>approach to an</w:t>
      </w:r>
      <w:r w:rsidR="001E7740" w:rsidRPr="00984CC9">
        <w:rPr>
          <w:lang w:val="en-GB" w:eastAsia="zh-CN"/>
        </w:rPr>
        <w:t xml:space="preserve"> </w:t>
      </w:r>
      <w:r w:rsidR="0019118F">
        <w:rPr>
          <w:lang w:val="en-GB" w:eastAsia="zh-CN"/>
        </w:rPr>
        <w:t xml:space="preserve">ongoing, </w:t>
      </w:r>
      <w:r w:rsidR="001E7740" w:rsidRPr="00984CC9">
        <w:rPr>
          <w:lang w:val="en-GB" w:eastAsia="zh-CN"/>
        </w:rPr>
        <w:t>instit</w:t>
      </w:r>
      <w:r w:rsidR="00513D9F" w:rsidRPr="00984CC9">
        <w:rPr>
          <w:lang w:val="en-GB" w:eastAsia="zh-CN"/>
        </w:rPr>
        <w:t>utional approach</w:t>
      </w:r>
      <w:r w:rsidR="0015120E" w:rsidRPr="00984CC9">
        <w:rPr>
          <w:lang w:val="en-GB" w:eastAsia="zh-CN"/>
        </w:rPr>
        <w:t xml:space="preserve">. Instead of recreating the inventory preparation process and arrangements for each </w:t>
      </w:r>
      <w:r w:rsidR="00A27496" w:rsidRPr="00984CC9">
        <w:rPr>
          <w:lang w:val="en-GB" w:eastAsia="zh-CN"/>
        </w:rPr>
        <w:t xml:space="preserve">new </w:t>
      </w:r>
      <w:r w:rsidR="0015120E" w:rsidRPr="00984CC9">
        <w:rPr>
          <w:lang w:val="en-GB" w:eastAsia="zh-CN"/>
        </w:rPr>
        <w:t xml:space="preserve">inventory, you will be able to begin each </w:t>
      </w:r>
      <w:r w:rsidR="002F33DB" w:rsidRPr="00984CC9">
        <w:rPr>
          <w:lang w:val="en-GB" w:eastAsia="zh-CN"/>
        </w:rPr>
        <w:t>one</w:t>
      </w:r>
      <w:r w:rsidR="0015120E" w:rsidRPr="00984CC9">
        <w:rPr>
          <w:lang w:val="en-GB" w:eastAsia="zh-CN"/>
        </w:rPr>
        <w:t xml:space="preserve"> </w:t>
      </w:r>
      <w:r w:rsidR="00A27496" w:rsidRPr="00984CC9">
        <w:rPr>
          <w:lang w:val="en-GB" w:eastAsia="zh-CN"/>
        </w:rPr>
        <w:t>with</w:t>
      </w:r>
      <w:r w:rsidR="00175E71" w:rsidRPr="00984CC9">
        <w:rPr>
          <w:lang w:val="en-GB" w:eastAsia="zh-CN"/>
        </w:rPr>
        <w:t xml:space="preserve"> a more transparen</w:t>
      </w:r>
      <w:r w:rsidR="00797B47">
        <w:rPr>
          <w:lang w:val="en-GB" w:eastAsia="zh-CN"/>
        </w:rPr>
        <w:t>t</w:t>
      </w:r>
      <w:r w:rsidR="00175E71" w:rsidRPr="00984CC9">
        <w:rPr>
          <w:lang w:val="en-GB" w:eastAsia="zh-CN"/>
        </w:rPr>
        <w:t>, accurate, complete, consistent and comparable</w:t>
      </w:r>
      <w:r w:rsidR="00A27496" w:rsidRPr="00984CC9">
        <w:rPr>
          <w:lang w:val="en-GB" w:eastAsia="zh-CN"/>
        </w:rPr>
        <w:t xml:space="preserve"> previous inventory, </w:t>
      </w:r>
      <w:r w:rsidR="002F33DB" w:rsidRPr="00984CC9">
        <w:rPr>
          <w:lang w:val="en-GB" w:eastAsia="zh-CN"/>
        </w:rPr>
        <w:t>and</w:t>
      </w:r>
      <w:r w:rsidR="00A27496" w:rsidRPr="00984CC9">
        <w:rPr>
          <w:lang w:val="en-GB" w:eastAsia="zh-CN"/>
        </w:rPr>
        <w:t xml:space="preserve"> </w:t>
      </w:r>
      <w:r w:rsidR="00175E71" w:rsidRPr="00984CC9">
        <w:rPr>
          <w:lang w:val="en-GB" w:eastAsia="zh-CN"/>
        </w:rPr>
        <w:t>a</w:t>
      </w:r>
      <w:r w:rsidR="0015120E" w:rsidRPr="00984CC9">
        <w:rPr>
          <w:lang w:val="en-GB" w:eastAsia="zh-CN"/>
        </w:rPr>
        <w:t xml:space="preserve"> </w:t>
      </w:r>
      <w:r w:rsidRPr="00984CC9">
        <w:rPr>
          <w:lang w:val="en-GB" w:eastAsia="zh-CN"/>
        </w:rPr>
        <w:t>proven</w:t>
      </w:r>
      <w:r w:rsidR="0015120E" w:rsidRPr="00984CC9">
        <w:rPr>
          <w:lang w:val="en-GB" w:eastAsia="zh-CN"/>
        </w:rPr>
        <w:t xml:space="preserve"> system th</w:t>
      </w:r>
      <w:r w:rsidR="00797B47">
        <w:rPr>
          <w:lang w:val="en-GB" w:eastAsia="zh-CN"/>
        </w:rPr>
        <w:t>at saves you time and resources</w:t>
      </w:r>
      <w:r w:rsidR="0015120E" w:rsidRPr="00984CC9">
        <w:rPr>
          <w:lang w:val="en-GB" w:eastAsia="zh-CN"/>
        </w:rPr>
        <w:t xml:space="preserve"> and helps you produce </w:t>
      </w:r>
      <w:r w:rsidR="00A27496" w:rsidRPr="00984CC9">
        <w:rPr>
          <w:lang w:val="en-GB" w:eastAsia="zh-CN"/>
        </w:rPr>
        <w:t>future GHG</w:t>
      </w:r>
      <w:r w:rsidR="0015120E" w:rsidRPr="00984CC9">
        <w:rPr>
          <w:lang w:val="en-GB" w:eastAsia="zh-CN"/>
        </w:rPr>
        <w:t xml:space="preserve"> inventor</w:t>
      </w:r>
      <w:r w:rsidR="00A27496" w:rsidRPr="00984CC9">
        <w:rPr>
          <w:lang w:val="en-GB" w:eastAsia="zh-CN"/>
        </w:rPr>
        <w:t>ies on</w:t>
      </w:r>
      <w:r w:rsidR="002F33DB" w:rsidRPr="00984CC9">
        <w:rPr>
          <w:lang w:val="en-GB" w:eastAsia="zh-CN"/>
        </w:rPr>
        <w:t xml:space="preserve"> a</w:t>
      </w:r>
      <w:r w:rsidR="00A27496" w:rsidRPr="00984CC9">
        <w:rPr>
          <w:lang w:val="en-GB" w:eastAsia="zh-CN"/>
        </w:rPr>
        <w:t xml:space="preserve"> more continuous basis</w:t>
      </w:r>
      <w:r w:rsidRPr="00984CC9">
        <w:rPr>
          <w:lang w:val="en-GB" w:eastAsia="zh-CN"/>
        </w:rPr>
        <w:t>.</w:t>
      </w:r>
      <w:r w:rsidR="00513D9F" w:rsidRPr="00984CC9">
        <w:rPr>
          <w:lang w:val="en-GB" w:eastAsia="zh-CN"/>
        </w:rPr>
        <w:t xml:space="preserve"> </w:t>
      </w:r>
      <w:r w:rsidR="00175E71" w:rsidRPr="00984CC9">
        <w:rPr>
          <w:lang w:val="en-GB" w:eastAsia="zh-CN"/>
        </w:rPr>
        <w:t xml:space="preserve"> </w:t>
      </w:r>
      <w:r w:rsidR="004E26F8" w:rsidRPr="00984CC9" w:rsidDel="004E26F8">
        <w:rPr>
          <w:lang w:val="en-GB" w:eastAsia="zh-CN"/>
        </w:rPr>
        <w:t xml:space="preserve"> </w:t>
      </w:r>
    </w:p>
    <w:p w14:paraId="4FA07674" w14:textId="7CDE94D0" w:rsidR="00984CC9" w:rsidRPr="00984CC9" w:rsidRDefault="00172826" w:rsidP="008C1A71">
      <w:pPr>
        <w:pStyle w:val="Heading2"/>
        <w:spacing w:before="240"/>
      </w:pPr>
      <w:r w:rsidRPr="00A62535">
        <w:t xml:space="preserve">The GHG </w:t>
      </w:r>
      <w:r w:rsidR="008C2D10">
        <w:t>I</w:t>
      </w:r>
      <w:r w:rsidRPr="00A62535">
        <w:t xml:space="preserve">nventory </w:t>
      </w:r>
      <w:r w:rsidR="008C2D10">
        <w:t>C</w:t>
      </w:r>
      <w:r w:rsidRPr="00A62535">
        <w:t xml:space="preserve">ompilation </w:t>
      </w:r>
      <w:r w:rsidR="008C2D10">
        <w:t>C</w:t>
      </w:r>
      <w:r w:rsidRPr="00A62535">
        <w:t>ycle</w:t>
      </w:r>
    </w:p>
    <w:p w14:paraId="28BB5E0C" w14:textId="4457A94D" w:rsidR="00172826" w:rsidRPr="00172826" w:rsidRDefault="00172826" w:rsidP="00984CC9">
      <w:pPr>
        <w:autoSpaceDE w:val="0"/>
        <w:autoSpaceDN w:val="0"/>
        <w:adjustRightInd w:val="0"/>
        <w:spacing w:after="0" w:line="240" w:lineRule="auto"/>
        <w:rPr>
          <w:lang w:val="en-GB" w:eastAsia="zh-CN"/>
        </w:rPr>
      </w:pPr>
      <w:r w:rsidRPr="00172826">
        <w:rPr>
          <w:lang w:val="en-GB" w:eastAsia="zh-CN"/>
        </w:rPr>
        <w:t xml:space="preserve">The </w:t>
      </w:r>
      <w:r w:rsidR="008E4B10">
        <w:rPr>
          <w:lang w:val="en-GB" w:eastAsia="zh-CN"/>
        </w:rPr>
        <w:t xml:space="preserve">GHG Inventory </w:t>
      </w:r>
      <w:r w:rsidR="00175E71">
        <w:rPr>
          <w:lang w:val="en-GB" w:eastAsia="zh-CN"/>
        </w:rPr>
        <w:t xml:space="preserve">management </w:t>
      </w:r>
      <w:r w:rsidR="008E4B10">
        <w:rPr>
          <w:lang w:val="en-GB" w:eastAsia="zh-CN"/>
        </w:rPr>
        <w:t xml:space="preserve">system helps </w:t>
      </w:r>
      <w:r w:rsidR="00175E71">
        <w:rPr>
          <w:lang w:val="en-GB" w:eastAsia="zh-CN"/>
        </w:rPr>
        <w:t xml:space="preserve">inventory </w:t>
      </w:r>
      <w:r w:rsidR="008E4B10">
        <w:rPr>
          <w:lang w:val="en-GB" w:eastAsia="zh-CN"/>
        </w:rPr>
        <w:t xml:space="preserve">compilers manage the </w:t>
      </w:r>
      <w:r w:rsidR="00175E71">
        <w:rPr>
          <w:lang w:val="en-GB" w:eastAsia="zh-CN"/>
        </w:rPr>
        <w:t xml:space="preserve">seven stages of the </w:t>
      </w:r>
      <w:r w:rsidRPr="00172826">
        <w:rPr>
          <w:lang w:val="en-GB" w:eastAsia="zh-CN"/>
        </w:rPr>
        <w:t xml:space="preserve">GHG inventory compilation cycle: </w:t>
      </w:r>
    </w:p>
    <w:p w14:paraId="421DA03E" w14:textId="77777777" w:rsidR="007D1F84" w:rsidRDefault="007D1F84" w:rsidP="00A62535">
      <w:pPr>
        <w:pStyle w:val="ListParagraph"/>
        <w:numPr>
          <w:ilvl w:val="0"/>
          <w:numId w:val="2"/>
        </w:numPr>
        <w:spacing w:before="120" w:after="120" w:line="240" w:lineRule="auto"/>
      </w:pPr>
      <w:r>
        <w:t>Plan</w:t>
      </w:r>
    </w:p>
    <w:p w14:paraId="0ACA7204" w14:textId="05994531" w:rsidR="00172826" w:rsidRPr="00A62535" w:rsidRDefault="00172826" w:rsidP="00A62535">
      <w:pPr>
        <w:pStyle w:val="ListParagraph"/>
        <w:numPr>
          <w:ilvl w:val="0"/>
          <w:numId w:val="2"/>
        </w:numPr>
        <w:spacing w:before="120" w:after="120" w:line="240" w:lineRule="auto"/>
      </w:pPr>
      <w:r w:rsidRPr="00A62535">
        <w:t>Collect</w:t>
      </w:r>
    </w:p>
    <w:p w14:paraId="1384C6D1" w14:textId="3E56E938" w:rsidR="00172826" w:rsidRPr="00A62535" w:rsidRDefault="00172826" w:rsidP="00A62535">
      <w:pPr>
        <w:pStyle w:val="ListParagraph"/>
        <w:numPr>
          <w:ilvl w:val="0"/>
          <w:numId w:val="2"/>
        </w:numPr>
        <w:spacing w:before="120" w:after="120" w:line="240" w:lineRule="auto"/>
      </w:pPr>
      <w:r w:rsidRPr="00A62535">
        <w:t>Estimate</w:t>
      </w:r>
    </w:p>
    <w:p w14:paraId="67CBFEB7" w14:textId="273DD399" w:rsidR="00172826" w:rsidRPr="00A62535" w:rsidRDefault="00172826" w:rsidP="00A62535">
      <w:pPr>
        <w:pStyle w:val="ListParagraph"/>
        <w:numPr>
          <w:ilvl w:val="0"/>
          <w:numId w:val="2"/>
        </w:numPr>
        <w:spacing w:before="120" w:after="120" w:line="240" w:lineRule="auto"/>
      </w:pPr>
      <w:r w:rsidRPr="00A62535">
        <w:t>Write</w:t>
      </w:r>
    </w:p>
    <w:p w14:paraId="100B293D" w14:textId="28009685" w:rsidR="00172826" w:rsidRDefault="00172826" w:rsidP="00A62535">
      <w:pPr>
        <w:pStyle w:val="ListParagraph"/>
        <w:numPr>
          <w:ilvl w:val="0"/>
          <w:numId w:val="2"/>
        </w:numPr>
        <w:spacing w:before="120" w:after="120" w:line="240" w:lineRule="auto"/>
      </w:pPr>
      <w:r w:rsidRPr="00A62535">
        <w:t>Review</w:t>
      </w:r>
    </w:p>
    <w:p w14:paraId="399B3958" w14:textId="7D98EBBE" w:rsidR="00172826" w:rsidRDefault="00172826" w:rsidP="00A62535">
      <w:pPr>
        <w:pStyle w:val="ListParagraph"/>
        <w:numPr>
          <w:ilvl w:val="0"/>
          <w:numId w:val="2"/>
        </w:numPr>
        <w:spacing w:before="120" w:after="120" w:line="240" w:lineRule="auto"/>
      </w:pPr>
      <w:r>
        <w:t xml:space="preserve">Finalize and </w:t>
      </w:r>
      <w:r w:rsidR="00C1550A">
        <w:t xml:space="preserve">submit </w:t>
      </w:r>
      <w:r w:rsidR="00223DA1">
        <w:t>report</w:t>
      </w:r>
    </w:p>
    <w:p w14:paraId="15FE86C5" w14:textId="17D1F0EC" w:rsidR="0020013A" w:rsidRDefault="00543E89" w:rsidP="00A62535">
      <w:pPr>
        <w:pStyle w:val="ListParagraph"/>
        <w:numPr>
          <w:ilvl w:val="0"/>
          <w:numId w:val="2"/>
        </w:numPr>
        <w:spacing w:before="120" w:after="120" w:line="240" w:lineRule="auto"/>
      </w:pPr>
      <w:r>
        <w:t>Archive</w:t>
      </w:r>
    </w:p>
    <w:p w14:paraId="417A2874" w14:textId="77777777" w:rsidR="00466EDA" w:rsidRDefault="00466EDA" w:rsidP="00A62535">
      <w:pPr>
        <w:spacing w:before="120" w:after="120" w:line="240" w:lineRule="auto"/>
      </w:pPr>
    </w:p>
    <w:p w14:paraId="53AE35CF" w14:textId="2C706D83" w:rsidR="00543E89" w:rsidRDefault="00543E89" w:rsidP="00A62535">
      <w:pPr>
        <w:spacing w:before="120" w:after="120" w:line="240" w:lineRule="auto"/>
      </w:pPr>
      <w:r>
        <w:lastRenderedPageBreak/>
        <w:t xml:space="preserve">The </w:t>
      </w:r>
      <w:r w:rsidR="00C948C8">
        <w:t>F</w:t>
      </w:r>
      <w:r>
        <w:t>igure</w:t>
      </w:r>
      <w:r w:rsidR="00C948C8">
        <w:t xml:space="preserve"> 1</w:t>
      </w:r>
      <w:r>
        <w:t xml:space="preserve"> below shows how these </w:t>
      </w:r>
      <w:r w:rsidR="00C948C8">
        <w:t xml:space="preserve">seven </w:t>
      </w:r>
      <w:r>
        <w:t>stages form a cycle, and presents the main activities associated with each of its stages.</w:t>
      </w:r>
    </w:p>
    <w:p w14:paraId="11BFC555" w14:textId="79A58197" w:rsidR="005E0DDC" w:rsidRDefault="00E63253" w:rsidP="005E0DDC">
      <w:pPr>
        <w:pStyle w:val="Caption"/>
        <w:rPr>
          <w:rFonts w:asciiTheme="minorHAnsi" w:hAnsiTheme="minorHAnsi"/>
          <w:sz w:val="24"/>
          <w:szCs w:val="24"/>
        </w:rPr>
      </w:pPr>
      <w:r w:rsidRPr="00E63253">
        <w:rPr>
          <w:rFonts w:asciiTheme="minorHAnsi" w:hAnsiTheme="minorHAnsi"/>
          <w:sz w:val="24"/>
          <w:szCs w:val="24"/>
        </w:rPr>
        <w:t xml:space="preserve">Figure </w:t>
      </w:r>
      <w:r w:rsidRPr="00E63253">
        <w:rPr>
          <w:rFonts w:asciiTheme="minorHAnsi" w:hAnsiTheme="minorHAnsi"/>
          <w:sz w:val="24"/>
          <w:szCs w:val="24"/>
        </w:rPr>
        <w:fldChar w:fldCharType="begin"/>
      </w:r>
      <w:r w:rsidRPr="00E63253">
        <w:rPr>
          <w:rFonts w:asciiTheme="minorHAnsi" w:hAnsiTheme="minorHAnsi"/>
          <w:sz w:val="24"/>
          <w:szCs w:val="24"/>
        </w:rPr>
        <w:instrText xml:space="preserve"> SEQ Figure \* ARABIC </w:instrText>
      </w:r>
      <w:r w:rsidRPr="00E63253">
        <w:rPr>
          <w:rFonts w:asciiTheme="minorHAnsi" w:hAnsiTheme="minorHAnsi"/>
          <w:sz w:val="24"/>
          <w:szCs w:val="24"/>
        </w:rPr>
        <w:fldChar w:fldCharType="separate"/>
      </w:r>
      <w:r w:rsidRPr="00E63253">
        <w:rPr>
          <w:rFonts w:asciiTheme="minorHAnsi" w:hAnsiTheme="minorHAnsi"/>
          <w:noProof/>
          <w:sz w:val="24"/>
          <w:szCs w:val="24"/>
        </w:rPr>
        <w:t>1</w:t>
      </w:r>
      <w:r w:rsidRPr="00E63253">
        <w:rPr>
          <w:rFonts w:asciiTheme="minorHAnsi" w:hAnsiTheme="minorHAnsi"/>
          <w:sz w:val="24"/>
          <w:szCs w:val="24"/>
        </w:rPr>
        <w:fldChar w:fldCharType="end"/>
      </w:r>
      <w:r w:rsidRPr="00E63253">
        <w:rPr>
          <w:rFonts w:asciiTheme="minorHAnsi" w:hAnsiTheme="minorHAnsi"/>
          <w:sz w:val="24"/>
          <w:szCs w:val="24"/>
        </w:rPr>
        <w:t>. National GHG Inventory Cycle</w:t>
      </w:r>
      <w:r w:rsidR="00FB6C54">
        <w:rPr>
          <w:rFonts w:asciiTheme="minorHAnsi" w:hAnsiTheme="minorHAnsi"/>
          <w:sz w:val="24"/>
          <w:szCs w:val="24"/>
        </w:rPr>
        <w:t xml:space="preserve"> </w:t>
      </w:r>
    </w:p>
    <w:p w14:paraId="5D6989BF" w14:textId="77777777" w:rsidR="0017282B" w:rsidRPr="0017282B" w:rsidRDefault="0017282B" w:rsidP="0017282B"/>
    <w:p w14:paraId="59464B27" w14:textId="25B34065" w:rsidR="0054455C" w:rsidRDefault="0017282B" w:rsidP="0054455C">
      <w:r>
        <w:rPr>
          <w:noProof/>
        </w:rPr>
        <w:drawing>
          <wp:inline distT="0" distB="0" distL="0" distR="0" wp14:anchorId="41D2635D" wp14:editId="4EE82FB8">
            <wp:extent cx="6806878" cy="4848225"/>
            <wp:effectExtent l="0" t="0" r="0" b="0"/>
            <wp:docPr id="7" name="Picture 7" descr="Figure 1 graph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5017" b="1673"/>
                    <a:stretch/>
                  </pic:blipFill>
                  <pic:spPr bwMode="auto">
                    <a:xfrm>
                      <a:off x="0" y="0"/>
                      <a:ext cx="6812006" cy="4851878"/>
                    </a:xfrm>
                    <a:prstGeom prst="rect">
                      <a:avLst/>
                    </a:prstGeom>
                    <a:noFill/>
                    <a:ln>
                      <a:noFill/>
                    </a:ln>
                    <a:extLst>
                      <a:ext uri="{53640926-AAD7-44D8-BBD7-CCE9431645EC}">
                        <a14:shadowObscured xmlns:a14="http://schemas.microsoft.com/office/drawing/2010/main"/>
                      </a:ext>
                    </a:extLst>
                  </pic:spPr>
                </pic:pic>
              </a:graphicData>
            </a:graphic>
          </wp:inline>
        </w:drawing>
      </w:r>
    </w:p>
    <w:p w14:paraId="291BB3AD" w14:textId="77777777" w:rsidR="0054455C" w:rsidRPr="000C3227" w:rsidRDefault="0054455C" w:rsidP="000C3227"/>
    <w:p w14:paraId="52D5C95D" w14:textId="237E796B" w:rsidR="00466EDA" w:rsidRDefault="0079769B" w:rsidP="007A23D9">
      <w:r>
        <w:rPr>
          <w:lang w:val="en-GB" w:eastAsia="zh-CN"/>
        </w:rPr>
        <w:lastRenderedPageBreak/>
        <w:t>T</w:t>
      </w:r>
      <w:r w:rsidR="00543E89">
        <w:rPr>
          <w:lang w:val="en-GB" w:eastAsia="zh-CN"/>
        </w:rPr>
        <w:t xml:space="preserve">he </w:t>
      </w:r>
      <w:r>
        <w:rPr>
          <w:lang w:val="en-GB" w:eastAsia="zh-CN"/>
        </w:rPr>
        <w:t xml:space="preserve">inventory </w:t>
      </w:r>
      <w:r w:rsidR="0073453D">
        <w:rPr>
          <w:lang w:val="en-GB" w:eastAsia="zh-CN"/>
        </w:rPr>
        <w:t xml:space="preserve">compilation </w:t>
      </w:r>
      <w:r w:rsidR="00543E89">
        <w:rPr>
          <w:lang w:val="en-GB" w:eastAsia="zh-CN"/>
        </w:rPr>
        <w:t xml:space="preserve">stages </w:t>
      </w:r>
      <w:r w:rsidR="004E076F" w:rsidRPr="00B279CC">
        <w:rPr>
          <w:lang w:val="en-GB" w:eastAsia="zh-CN"/>
        </w:rPr>
        <w:t xml:space="preserve">rotate around </w:t>
      </w:r>
      <w:r w:rsidR="007F61E6">
        <w:rPr>
          <w:lang w:val="en-GB" w:eastAsia="zh-CN"/>
        </w:rPr>
        <w:t>the</w:t>
      </w:r>
      <w:r w:rsidR="004E076F" w:rsidRPr="00B279CC">
        <w:rPr>
          <w:lang w:val="en-GB" w:eastAsia="zh-CN"/>
        </w:rPr>
        <w:t xml:space="preserve"> central, unifying theme</w:t>
      </w:r>
      <w:r w:rsidR="007F61E6">
        <w:rPr>
          <w:lang w:val="en-GB" w:eastAsia="zh-CN"/>
        </w:rPr>
        <w:t xml:space="preserve"> of</w:t>
      </w:r>
      <w:r w:rsidR="004E076F" w:rsidRPr="00B279CC">
        <w:rPr>
          <w:lang w:val="en-GB" w:eastAsia="zh-CN"/>
        </w:rPr>
        <w:t xml:space="preserve"> </w:t>
      </w:r>
      <w:r w:rsidR="004E076F">
        <w:rPr>
          <w:lang w:val="en-GB" w:eastAsia="zh-CN"/>
        </w:rPr>
        <w:t xml:space="preserve">continuous </w:t>
      </w:r>
      <w:r w:rsidR="004E076F" w:rsidRPr="00B279CC">
        <w:rPr>
          <w:lang w:val="en-GB" w:eastAsia="zh-CN"/>
        </w:rPr>
        <w:t>improvement</w:t>
      </w:r>
      <w:r w:rsidR="00C948C8">
        <w:rPr>
          <w:lang w:val="en-GB" w:eastAsia="zh-CN"/>
        </w:rPr>
        <w:t xml:space="preserve"> (noted by orange color in Figure 1)</w:t>
      </w:r>
      <w:r w:rsidR="00543E89">
        <w:rPr>
          <w:lang w:val="en-GB" w:eastAsia="zh-CN"/>
        </w:rPr>
        <w:t>.</w:t>
      </w:r>
      <w:r w:rsidR="004E076F" w:rsidRPr="00B279CC">
        <w:rPr>
          <w:lang w:val="en-GB" w:eastAsia="zh-CN"/>
        </w:rPr>
        <w:t xml:space="preserve"> </w:t>
      </w:r>
      <w:r w:rsidR="00543E89">
        <w:rPr>
          <w:lang w:val="en-GB" w:eastAsia="zh-CN"/>
        </w:rPr>
        <w:t>A</w:t>
      </w:r>
      <w:r w:rsidR="004E076F" w:rsidRPr="00B279CC">
        <w:rPr>
          <w:lang w:val="en-GB" w:eastAsia="zh-CN"/>
        </w:rPr>
        <w:t xml:space="preserve">lmost every country </w:t>
      </w:r>
      <w:r w:rsidR="00543E89">
        <w:rPr>
          <w:lang w:val="en-GB" w:eastAsia="zh-CN"/>
        </w:rPr>
        <w:t xml:space="preserve">has </w:t>
      </w:r>
      <w:r w:rsidR="004E076F" w:rsidRPr="00B279CC">
        <w:rPr>
          <w:lang w:val="en-GB" w:eastAsia="zh-CN"/>
        </w:rPr>
        <w:t xml:space="preserve">compiled </w:t>
      </w:r>
      <w:r w:rsidR="00543E89">
        <w:rPr>
          <w:lang w:val="en-GB" w:eastAsia="zh-CN"/>
        </w:rPr>
        <w:t>at least one</w:t>
      </w:r>
      <w:r w:rsidR="004E076F" w:rsidRPr="00B279CC">
        <w:rPr>
          <w:lang w:val="en-GB" w:eastAsia="zh-CN"/>
        </w:rPr>
        <w:t xml:space="preserve"> inventory, </w:t>
      </w:r>
      <w:r w:rsidR="0019118F">
        <w:rPr>
          <w:lang w:val="en-GB" w:eastAsia="zh-CN"/>
        </w:rPr>
        <w:t xml:space="preserve">and many countries have completed multiple inventories. Thus, </w:t>
      </w:r>
      <w:r w:rsidR="004E076F" w:rsidRPr="00B279CC">
        <w:rPr>
          <w:lang w:val="en-GB" w:eastAsia="zh-CN"/>
        </w:rPr>
        <w:t>the focus</w:t>
      </w:r>
      <w:r w:rsidR="00543E89">
        <w:rPr>
          <w:lang w:val="en-GB" w:eastAsia="zh-CN"/>
        </w:rPr>
        <w:t xml:space="preserve"> of national GHG inventory compilation</w:t>
      </w:r>
      <w:r w:rsidR="004E076F" w:rsidRPr="00B279CC">
        <w:rPr>
          <w:lang w:val="en-GB" w:eastAsia="zh-CN"/>
        </w:rPr>
        <w:t xml:space="preserve"> </w:t>
      </w:r>
      <w:r w:rsidR="00543E89">
        <w:rPr>
          <w:lang w:val="en-GB" w:eastAsia="zh-CN"/>
        </w:rPr>
        <w:t>now is for</w:t>
      </w:r>
      <w:r w:rsidR="00466EDA">
        <w:rPr>
          <w:lang w:val="en-GB" w:eastAsia="zh-CN"/>
        </w:rPr>
        <w:t xml:space="preserve"> </w:t>
      </w:r>
      <w:r w:rsidR="00543E89">
        <w:rPr>
          <w:lang w:val="en-GB" w:eastAsia="zh-CN"/>
        </w:rPr>
        <w:t>countries</w:t>
      </w:r>
      <w:r w:rsidR="004E076F" w:rsidRPr="00B279CC">
        <w:rPr>
          <w:lang w:val="en-GB" w:eastAsia="zh-CN"/>
        </w:rPr>
        <w:t xml:space="preserve"> </w:t>
      </w:r>
      <w:r w:rsidR="00543E89">
        <w:rPr>
          <w:lang w:val="en-GB" w:eastAsia="zh-CN"/>
        </w:rPr>
        <w:t xml:space="preserve">to </w:t>
      </w:r>
      <w:r w:rsidR="0073453D">
        <w:rPr>
          <w:lang w:val="en-GB" w:eastAsia="zh-CN"/>
        </w:rPr>
        <w:t xml:space="preserve">institutionalize and </w:t>
      </w:r>
      <w:r w:rsidR="004E6DFD">
        <w:rPr>
          <w:lang w:val="en-GB" w:eastAsia="zh-CN"/>
        </w:rPr>
        <w:t xml:space="preserve">continually </w:t>
      </w:r>
      <w:r w:rsidR="004E076F" w:rsidRPr="00B279CC">
        <w:rPr>
          <w:lang w:val="en-GB" w:eastAsia="zh-CN"/>
        </w:rPr>
        <w:t>improv</w:t>
      </w:r>
      <w:r w:rsidR="00543E89">
        <w:rPr>
          <w:lang w:val="en-GB" w:eastAsia="zh-CN"/>
        </w:rPr>
        <w:t>e</w:t>
      </w:r>
      <w:r w:rsidR="004E076F" w:rsidRPr="00B279CC">
        <w:rPr>
          <w:lang w:val="en-GB" w:eastAsia="zh-CN"/>
        </w:rPr>
        <w:t xml:space="preserve"> their </w:t>
      </w:r>
      <w:r w:rsidR="00543E89">
        <w:rPr>
          <w:lang w:val="en-GB" w:eastAsia="zh-CN"/>
        </w:rPr>
        <w:t>compilation</w:t>
      </w:r>
      <w:r w:rsidR="00543E89" w:rsidRPr="00B279CC">
        <w:rPr>
          <w:lang w:val="en-GB" w:eastAsia="zh-CN"/>
        </w:rPr>
        <w:t xml:space="preserve"> </w:t>
      </w:r>
      <w:r w:rsidR="004E076F" w:rsidRPr="00B279CC">
        <w:rPr>
          <w:lang w:val="en-GB" w:eastAsia="zh-CN"/>
        </w:rPr>
        <w:t>processes</w:t>
      </w:r>
      <w:r w:rsidR="00175E71">
        <w:rPr>
          <w:lang w:val="en-GB" w:eastAsia="zh-CN"/>
        </w:rPr>
        <w:t>, and in turn</w:t>
      </w:r>
      <w:r w:rsidR="00C948C8">
        <w:rPr>
          <w:lang w:val="en-GB" w:eastAsia="zh-CN"/>
        </w:rPr>
        <w:t xml:space="preserve"> improve</w:t>
      </w:r>
      <w:r w:rsidR="00984CC9">
        <w:rPr>
          <w:lang w:val="en-GB" w:eastAsia="zh-CN"/>
        </w:rPr>
        <w:t xml:space="preserve"> their</w:t>
      </w:r>
      <w:r w:rsidR="00BB49FE">
        <w:rPr>
          <w:lang w:val="en-GB" w:eastAsia="zh-CN"/>
        </w:rPr>
        <w:t xml:space="preserve"> </w:t>
      </w:r>
      <w:r w:rsidR="00175E71">
        <w:rPr>
          <w:lang w:val="en-GB" w:eastAsia="zh-CN"/>
        </w:rPr>
        <w:t>inventory</w:t>
      </w:r>
      <w:r w:rsidR="00BB49FE">
        <w:rPr>
          <w:lang w:val="en-GB" w:eastAsia="zh-CN"/>
        </w:rPr>
        <w:t xml:space="preserve"> report</w:t>
      </w:r>
      <w:r w:rsidR="00984CC9">
        <w:rPr>
          <w:lang w:val="en-GB" w:eastAsia="zh-CN"/>
        </w:rPr>
        <w:t>s</w:t>
      </w:r>
      <w:r w:rsidR="004E076F" w:rsidRPr="00B279CC">
        <w:rPr>
          <w:lang w:val="en-GB" w:eastAsia="zh-CN"/>
        </w:rPr>
        <w:t>.</w:t>
      </w:r>
      <w:r w:rsidR="004E076F" w:rsidRPr="00B279CC">
        <w:t xml:space="preserve"> </w:t>
      </w:r>
    </w:p>
    <w:p w14:paraId="392E66C5" w14:textId="6477611F" w:rsidR="00E423AF" w:rsidRPr="003C2AA2" w:rsidRDefault="004E1B36" w:rsidP="004E076F">
      <w:pPr>
        <w:spacing w:before="120"/>
        <w:rPr>
          <w:lang w:val="en-GB" w:eastAsia="zh-CN"/>
        </w:rPr>
      </w:pPr>
      <w:r>
        <w:rPr>
          <w:noProof/>
        </w:rPr>
        <mc:AlternateContent>
          <mc:Choice Requires="wps">
            <w:drawing>
              <wp:inline distT="0" distB="0" distL="0" distR="0" wp14:anchorId="68FF9C71" wp14:editId="5FF71D8B">
                <wp:extent cx="8439150" cy="1638300"/>
                <wp:effectExtent l="0" t="0" r="19050" b="19050"/>
                <wp:docPr id="1" name="Text Box 1"/>
                <wp:cNvGraphicFramePr/>
                <a:graphic xmlns:a="http://schemas.openxmlformats.org/drawingml/2006/main">
                  <a:graphicData uri="http://schemas.microsoft.com/office/word/2010/wordprocessingShape">
                    <wps:wsp>
                      <wps:cNvSpPr txBox="1"/>
                      <wps:spPr>
                        <a:xfrm>
                          <a:off x="0" y="0"/>
                          <a:ext cx="8439150" cy="16383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692221E" w14:textId="77777777" w:rsidR="00ED0877" w:rsidRPr="00B310CE" w:rsidRDefault="00ED0877" w:rsidP="004E1B36">
                            <w:pPr>
                              <w:spacing w:before="120"/>
                              <w:jc w:val="center"/>
                              <w:rPr>
                                <w:b/>
                                <w:bCs/>
                                <w:lang w:val="en-GB" w:eastAsia="zh-CN"/>
                              </w:rPr>
                            </w:pPr>
                            <w:r w:rsidRPr="00B310CE">
                              <w:rPr>
                                <w:b/>
                                <w:bCs/>
                                <w:lang w:val="en-GB" w:eastAsia="zh-CN"/>
                              </w:rPr>
                              <w:t xml:space="preserve">Tip: </w:t>
                            </w:r>
                            <w:r w:rsidRPr="00C46D5A">
                              <w:rPr>
                                <w:b/>
                                <w:bCs/>
                                <w:lang w:val="en-GB" w:eastAsia="zh-CN"/>
                              </w:rPr>
                              <w:t xml:space="preserve">The </w:t>
                            </w:r>
                            <w:hyperlink r:id="rId13" w:history="1">
                              <w:r w:rsidRPr="00C46D5A">
                                <w:rPr>
                                  <w:rStyle w:val="Hyperlink"/>
                                  <w:b/>
                                  <w:bCs/>
                                  <w:lang w:val="en-GB" w:eastAsia="zh-CN"/>
                                </w:rPr>
                                <w:t>2006 IPCC Guidelines</w:t>
                              </w:r>
                            </w:hyperlink>
                            <w:r w:rsidRPr="00C46D5A">
                              <w:rPr>
                                <w:b/>
                                <w:bCs/>
                                <w:lang w:val="en-GB" w:eastAsia="zh-CN"/>
                              </w:rPr>
                              <w:t xml:space="preserve"> will help you plan the GHG inventory cycle.</w:t>
                            </w:r>
                          </w:p>
                          <w:p w14:paraId="6337C640" w14:textId="74EFC20C" w:rsidR="00ED0877" w:rsidRPr="00B279CC" w:rsidRDefault="00ED0877" w:rsidP="004E1B36">
                            <w:pPr>
                              <w:spacing w:before="120"/>
                            </w:pPr>
                            <w:r>
                              <w:rPr>
                                <w:lang w:val="en-GB" w:eastAsia="zh-CN"/>
                              </w:rPr>
                              <w:t xml:space="preserve">The 2006 IPCC Guidelines for National Greenhouse Gas Inventories (2006 IPCC Guidelines) </w:t>
                            </w:r>
                            <w:r w:rsidRPr="003C2AA2">
                              <w:rPr>
                                <w:lang w:val="en-GB" w:eastAsia="zh-CN"/>
                              </w:rPr>
                              <w:t xml:space="preserve">encourage continuous improvement and rigor through QA/QC and verification activities. </w:t>
                            </w:r>
                            <w:r>
                              <w:rPr>
                                <w:lang w:val="en-GB" w:eastAsia="zh-CN"/>
                              </w:rPr>
                              <w:t>The</w:t>
                            </w:r>
                            <w:r w:rsidRPr="003C2AA2">
                              <w:rPr>
                                <w:lang w:val="en-GB" w:eastAsia="zh-CN"/>
                              </w:rPr>
                              <w:t xml:space="preserve"> concepts and tools in </w:t>
                            </w:r>
                            <w:hyperlink r:id="rId14" w:history="1">
                              <w:r w:rsidRPr="000D712C">
                                <w:rPr>
                                  <w:rStyle w:val="Hyperlink"/>
                                  <w:lang w:val="en-GB" w:eastAsia="zh-CN"/>
                                </w:rPr>
                                <w:t xml:space="preserve">Chapter 6 of Volume 1 of the </w:t>
                              </w:r>
                              <w:r>
                                <w:rPr>
                                  <w:rStyle w:val="Hyperlink"/>
                                  <w:lang w:val="en-GB" w:eastAsia="zh-CN"/>
                                </w:rPr>
                                <w:t xml:space="preserve">2006 IPCC </w:t>
                              </w:r>
                              <w:r w:rsidRPr="000D712C">
                                <w:rPr>
                                  <w:rStyle w:val="Hyperlink"/>
                                  <w:lang w:val="en-GB" w:eastAsia="zh-CN"/>
                                </w:rPr>
                                <w:t>Guidelines</w:t>
                              </w:r>
                            </w:hyperlink>
                            <w:r w:rsidRPr="003C2AA2">
                              <w:rPr>
                                <w:lang w:val="en-GB" w:eastAsia="zh-CN"/>
                              </w:rPr>
                              <w:t xml:space="preserve"> support efficient inventory management, checking</w:t>
                            </w:r>
                            <w:r>
                              <w:rPr>
                                <w:lang w:val="en-GB" w:eastAsia="zh-CN"/>
                              </w:rPr>
                              <w:t>,</w:t>
                            </w:r>
                            <w:r w:rsidRPr="003C2AA2">
                              <w:rPr>
                                <w:lang w:val="en-GB" w:eastAsia="zh-CN"/>
                              </w:rPr>
                              <w:t xml:space="preserve"> and continuous improvement. </w:t>
                            </w:r>
                            <w:r>
                              <w:rPr>
                                <w:lang w:val="en-GB" w:eastAsia="zh-CN"/>
                              </w:rPr>
                              <w:t>By following these Guidelines, you should be able to make</w:t>
                            </w:r>
                            <w:r w:rsidRPr="003C2AA2">
                              <w:rPr>
                                <w:lang w:val="en-GB" w:eastAsia="zh-CN"/>
                              </w:rPr>
                              <w:t xml:space="preserve"> the best use of limited resources</w:t>
                            </w:r>
                            <w:r>
                              <w:rPr>
                                <w:lang w:val="en-GB" w:eastAsia="zh-CN"/>
                              </w:rPr>
                              <w:t xml:space="preserve"> and produce an inventory of</w:t>
                            </w:r>
                            <w:r w:rsidRPr="003C2AA2">
                              <w:rPr>
                                <w:lang w:val="en-GB" w:eastAsia="zh-CN"/>
                              </w:rPr>
                              <w:t xml:space="preserve"> a quality consistent with </w:t>
                            </w:r>
                            <w:r>
                              <w:rPr>
                                <w:lang w:val="en-GB" w:eastAsia="zh-CN"/>
                              </w:rPr>
                              <w:t xml:space="preserve">IPCC </w:t>
                            </w:r>
                            <w:r w:rsidRPr="003C2AA2">
                              <w:rPr>
                                <w:lang w:val="en-GB" w:eastAsia="zh-CN"/>
                              </w:rPr>
                              <w:t xml:space="preserve">good practice </w:t>
                            </w:r>
                            <w:r>
                              <w:rPr>
                                <w:lang w:val="en-GB" w:eastAsia="zh-CN"/>
                              </w:rPr>
                              <w:t>principles</w:t>
                            </w:r>
                            <w:r w:rsidRPr="003C2AA2">
                              <w:rPr>
                                <w:lang w:val="en-GB" w:eastAsia="zh-CN"/>
                              </w:rPr>
                              <w:t xml:space="preserve">. </w:t>
                            </w:r>
                            <w:bookmarkStart w:id="0" w:name="_Hlk48151986"/>
                            <w:r>
                              <w:t>Additional useful guidance and good practices in developing inventory arrangements and applying QA/QC that complement this Toolkit</w:t>
                            </w:r>
                            <w:r>
                              <w:rPr>
                                <w:lang w:val="en-GB" w:eastAsia="zh-CN"/>
                              </w:rPr>
                              <w:t xml:space="preserve"> are also provided in </w:t>
                            </w:r>
                            <w:r>
                              <w:t>Volume 1</w:t>
                            </w:r>
                            <w:r w:rsidRPr="002C23BB">
                              <w:t xml:space="preserve"> </w:t>
                            </w:r>
                            <w:r>
                              <w:t xml:space="preserve">of the </w:t>
                            </w:r>
                            <w:hyperlink r:id="rId15" w:history="1">
                              <w:r w:rsidRPr="00A254C4">
                                <w:rPr>
                                  <w:rStyle w:val="Hyperlink"/>
                                </w:rPr>
                                <w:t>2019 Refinement to the 2006 IPCC Guidelines</w:t>
                              </w:r>
                            </w:hyperlink>
                            <w:r>
                              <w:t xml:space="preserve"> (e.g., Chapter 1: Introduction to National GHG Inventories). </w:t>
                            </w:r>
                          </w:p>
                          <w:bookmarkEnd w:id="0"/>
                          <w:p w14:paraId="4DFAE738" w14:textId="77777777" w:rsidR="00ED0877" w:rsidRDefault="00ED0877" w:rsidP="004E1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FF9C71" id="_x0000_t202" coordsize="21600,21600" o:spt="202" path="m,l,21600r21600,l21600,xe">
                <v:stroke joinstyle="miter"/>
                <v:path gradientshapeok="t" o:connecttype="rect"/>
              </v:shapetype>
              <v:shape id="Text Box 1" o:spid="_x0000_s1026" type="#_x0000_t202" style="width:664.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" fillcolor="#9ecb81 [2169]" strokecolor="#70ad47 [3209]" strokeweight=".5pt">
                <v:fill color2="#8ac066 [2617]" rotate="t" colors="0 #b5d5a7;.5 #aace99;1 #9cca86" focus="100%" type="gradient">
                  <o:fill v:ext="view" type="gradientUnscaled"/>
                </v:fill>
                <v:textbox>
                  <w:txbxContent>
                    <w:p w14:paraId="6692221E" w14:textId="77777777" w:rsidR="00ED0877" w:rsidRPr="00B310CE" w:rsidRDefault="00ED0877" w:rsidP="004E1B36">
                      <w:pPr>
                        <w:spacing w:before="120"/>
                        <w:jc w:val="center"/>
                        <w:rPr>
                          <w:b/>
                          <w:bCs/>
                          <w:lang w:val="en-GB" w:eastAsia="zh-CN"/>
                        </w:rPr>
                      </w:pPr>
                      <w:r w:rsidRPr="00B310CE">
                        <w:rPr>
                          <w:b/>
                          <w:bCs/>
                          <w:lang w:val="en-GB" w:eastAsia="zh-CN"/>
                        </w:rPr>
                        <w:t xml:space="preserve">Tip: </w:t>
                      </w:r>
                      <w:r w:rsidRPr="00C46D5A">
                        <w:rPr>
                          <w:b/>
                          <w:bCs/>
                          <w:lang w:val="en-GB" w:eastAsia="zh-CN"/>
                        </w:rPr>
                        <w:t xml:space="preserve">The </w:t>
                      </w:r>
                      <w:hyperlink r:id="rId16" w:history="1">
                        <w:r w:rsidRPr="00C46D5A">
                          <w:rPr>
                            <w:rStyle w:val="Hyperlink"/>
                            <w:b/>
                            <w:bCs/>
                            <w:lang w:val="en-GB" w:eastAsia="zh-CN"/>
                          </w:rPr>
                          <w:t>2006 IPCC Guidelines</w:t>
                        </w:r>
                      </w:hyperlink>
                      <w:r w:rsidRPr="00C46D5A">
                        <w:rPr>
                          <w:b/>
                          <w:bCs/>
                          <w:lang w:val="en-GB" w:eastAsia="zh-CN"/>
                        </w:rPr>
                        <w:t xml:space="preserve"> will help you plan the GHG inventory cycle.</w:t>
                      </w:r>
                    </w:p>
                    <w:p w14:paraId="6337C640" w14:textId="74EFC20C" w:rsidR="00ED0877" w:rsidRPr="00B279CC" w:rsidRDefault="00ED0877" w:rsidP="004E1B36">
                      <w:pPr>
                        <w:spacing w:before="120"/>
                      </w:pPr>
                      <w:r>
                        <w:rPr>
                          <w:lang w:val="en-GB" w:eastAsia="zh-CN"/>
                        </w:rPr>
                        <w:t xml:space="preserve">The 2006 IPCC Guidelines for National Greenhouse Gas Inventories (2006 IPCC Guidelines) </w:t>
                      </w:r>
                      <w:r w:rsidRPr="003C2AA2">
                        <w:rPr>
                          <w:lang w:val="en-GB" w:eastAsia="zh-CN"/>
                        </w:rPr>
                        <w:t xml:space="preserve">encourage continuous improvement and rigor through QA/QC and verification activities. </w:t>
                      </w:r>
                      <w:r>
                        <w:rPr>
                          <w:lang w:val="en-GB" w:eastAsia="zh-CN"/>
                        </w:rPr>
                        <w:t>The</w:t>
                      </w:r>
                      <w:r w:rsidRPr="003C2AA2">
                        <w:rPr>
                          <w:lang w:val="en-GB" w:eastAsia="zh-CN"/>
                        </w:rPr>
                        <w:t xml:space="preserve"> concepts and tools in </w:t>
                      </w:r>
                      <w:hyperlink r:id="rId17" w:history="1">
                        <w:r w:rsidRPr="000D712C">
                          <w:rPr>
                            <w:rStyle w:val="Hyperlink"/>
                            <w:lang w:val="en-GB" w:eastAsia="zh-CN"/>
                          </w:rPr>
                          <w:t xml:space="preserve">Chapter 6 of Volume 1 of the </w:t>
                        </w:r>
                        <w:r>
                          <w:rPr>
                            <w:rStyle w:val="Hyperlink"/>
                            <w:lang w:val="en-GB" w:eastAsia="zh-CN"/>
                          </w:rPr>
                          <w:t xml:space="preserve">2006 IPCC </w:t>
                        </w:r>
                        <w:r w:rsidRPr="000D712C">
                          <w:rPr>
                            <w:rStyle w:val="Hyperlink"/>
                            <w:lang w:val="en-GB" w:eastAsia="zh-CN"/>
                          </w:rPr>
                          <w:t>Guidelines</w:t>
                        </w:r>
                      </w:hyperlink>
                      <w:r w:rsidRPr="003C2AA2">
                        <w:rPr>
                          <w:lang w:val="en-GB" w:eastAsia="zh-CN"/>
                        </w:rPr>
                        <w:t xml:space="preserve"> support efficient inventory management, checking</w:t>
                      </w:r>
                      <w:r>
                        <w:rPr>
                          <w:lang w:val="en-GB" w:eastAsia="zh-CN"/>
                        </w:rPr>
                        <w:t>,</w:t>
                      </w:r>
                      <w:r w:rsidRPr="003C2AA2">
                        <w:rPr>
                          <w:lang w:val="en-GB" w:eastAsia="zh-CN"/>
                        </w:rPr>
                        <w:t xml:space="preserve"> and continuous improvement. </w:t>
                      </w:r>
                      <w:r>
                        <w:rPr>
                          <w:lang w:val="en-GB" w:eastAsia="zh-CN"/>
                        </w:rPr>
                        <w:t>By following these Guidelines, you should be able to make</w:t>
                      </w:r>
                      <w:r w:rsidRPr="003C2AA2">
                        <w:rPr>
                          <w:lang w:val="en-GB" w:eastAsia="zh-CN"/>
                        </w:rPr>
                        <w:t xml:space="preserve"> the best use of limited resources</w:t>
                      </w:r>
                      <w:r>
                        <w:rPr>
                          <w:lang w:val="en-GB" w:eastAsia="zh-CN"/>
                        </w:rPr>
                        <w:t xml:space="preserve"> and produce an inventory of</w:t>
                      </w:r>
                      <w:r w:rsidRPr="003C2AA2">
                        <w:rPr>
                          <w:lang w:val="en-GB" w:eastAsia="zh-CN"/>
                        </w:rPr>
                        <w:t xml:space="preserve"> a quality consistent with </w:t>
                      </w:r>
                      <w:r>
                        <w:rPr>
                          <w:lang w:val="en-GB" w:eastAsia="zh-CN"/>
                        </w:rPr>
                        <w:t xml:space="preserve">IPCC </w:t>
                      </w:r>
                      <w:r w:rsidRPr="003C2AA2">
                        <w:rPr>
                          <w:lang w:val="en-GB" w:eastAsia="zh-CN"/>
                        </w:rPr>
                        <w:t xml:space="preserve">good practice </w:t>
                      </w:r>
                      <w:r>
                        <w:rPr>
                          <w:lang w:val="en-GB" w:eastAsia="zh-CN"/>
                        </w:rPr>
                        <w:t>principles</w:t>
                      </w:r>
                      <w:r w:rsidRPr="003C2AA2">
                        <w:rPr>
                          <w:lang w:val="en-GB" w:eastAsia="zh-CN"/>
                        </w:rPr>
                        <w:t xml:space="preserve">. </w:t>
                      </w:r>
                      <w:bookmarkStart w:id="1" w:name="_Hlk48151986"/>
                      <w:r>
                        <w:t>Additional useful guidance and good practices in developing inventory arrangements and applying QA/QC that complement this Toolkit</w:t>
                      </w:r>
                      <w:r>
                        <w:rPr>
                          <w:lang w:val="en-GB" w:eastAsia="zh-CN"/>
                        </w:rPr>
                        <w:t xml:space="preserve"> are also provided in </w:t>
                      </w:r>
                      <w:r>
                        <w:t>Volume 1</w:t>
                      </w:r>
                      <w:r w:rsidRPr="002C23BB">
                        <w:t xml:space="preserve"> </w:t>
                      </w:r>
                      <w:r>
                        <w:t xml:space="preserve">of the </w:t>
                      </w:r>
                      <w:hyperlink r:id="rId18" w:history="1">
                        <w:r w:rsidRPr="00A254C4">
                          <w:rPr>
                            <w:rStyle w:val="Hyperlink"/>
                          </w:rPr>
                          <w:t>2019 Refinement to the 2006 IPCC Guidelines</w:t>
                        </w:r>
                      </w:hyperlink>
                      <w:r>
                        <w:t xml:space="preserve"> (e.g., Chapter 1: Introduction to National GHG Inventories). </w:t>
                      </w:r>
                    </w:p>
                    <w:bookmarkEnd w:id="1"/>
                    <w:p w14:paraId="4DFAE738" w14:textId="77777777" w:rsidR="00ED0877" w:rsidRDefault="00ED0877" w:rsidP="004E1B36"/>
                  </w:txbxContent>
                </v:textbox>
                <w10:anchorlock/>
              </v:shape>
            </w:pict>
          </mc:Fallback>
        </mc:AlternateContent>
      </w:r>
    </w:p>
    <w:p w14:paraId="21CA1693" w14:textId="7D8AD5D4" w:rsidR="007F61E6" w:rsidRDefault="007F5BF4" w:rsidP="004E076F">
      <w:pPr>
        <w:spacing w:before="120"/>
      </w:pPr>
      <w:r>
        <w:t>T</w:t>
      </w:r>
      <w:r w:rsidR="004E076F" w:rsidRPr="00B279CC">
        <w:t xml:space="preserve">he length of </w:t>
      </w:r>
      <w:r w:rsidR="004E076F">
        <w:t xml:space="preserve">your </w:t>
      </w:r>
      <w:r w:rsidR="004E076F" w:rsidRPr="00B279CC">
        <w:t>inventory cycle depends on your national circumstances and reporting requirements. The inven</w:t>
      </w:r>
      <w:r w:rsidR="004E076F">
        <w:t xml:space="preserve">tory cycle </w:t>
      </w:r>
      <w:r w:rsidR="00543E89">
        <w:t xml:space="preserve">pictured </w:t>
      </w:r>
      <w:r w:rsidR="007F61E6">
        <w:t>above</w:t>
      </w:r>
      <w:r w:rsidR="004E076F" w:rsidRPr="00B279CC">
        <w:t xml:space="preserve"> can be applied to annual</w:t>
      </w:r>
      <w:r w:rsidR="001844F4">
        <w:t xml:space="preserve"> or</w:t>
      </w:r>
      <w:r w:rsidR="004E076F" w:rsidRPr="00B279CC">
        <w:t xml:space="preserve"> biennial cycles. </w:t>
      </w:r>
      <w:r w:rsidR="00DC6135">
        <w:t xml:space="preserve">Based on </w:t>
      </w:r>
      <w:r w:rsidR="00307B63">
        <w:t xml:space="preserve">current </w:t>
      </w:r>
      <w:r w:rsidR="00B44FA6" w:rsidRPr="00B44FA6">
        <w:t>Biennial Update Report</w:t>
      </w:r>
      <w:r w:rsidR="00307B63">
        <w:t xml:space="preserve"> reporting requirements, and future reporting under the </w:t>
      </w:r>
      <w:r w:rsidR="00A63E3E">
        <w:t>Enhanced Transparency Framework</w:t>
      </w:r>
      <w:r w:rsidR="00DF795E">
        <w:t xml:space="preserve"> (ETF)</w:t>
      </w:r>
      <w:r w:rsidR="00307B63">
        <w:t>,</w:t>
      </w:r>
      <w:r w:rsidR="00B44FA6">
        <w:t xml:space="preserve"> that require reporting to the </w:t>
      </w:r>
      <w:r w:rsidR="0018592D">
        <w:t>United Nations Framework Convention on Climate Change (</w:t>
      </w:r>
      <w:r w:rsidR="00B44FA6">
        <w:t>UNFCCC</w:t>
      </w:r>
      <w:r w:rsidR="0018592D">
        <w:t>)</w:t>
      </w:r>
      <w:r w:rsidR="00307B63">
        <w:t xml:space="preserve"> </w:t>
      </w:r>
      <w:r w:rsidR="00B44FA6">
        <w:t xml:space="preserve">every two years, most </w:t>
      </w:r>
      <w:r w:rsidR="00FC3009">
        <w:t>developing</w:t>
      </w:r>
      <w:r w:rsidR="00B44FA6">
        <w:t xml:space="preserve"> countries should plan for an inventory cycle of </w:t>
      </w:r>
      <w:r w:rsidR="00A63E3E">
        <w:t>two</w:t>
      </w:r>
      <w:r w:rsidR="00B44FA6">
        <w:t xml:space="preserve"> years.</w:t>
      </w:r>
      <w:r w:rsidR="00B44FA6">
        <w:rPr>
          <w:rStyle w:val="FootnoteReference"/>
        </w:rPr>
        <w:footnoteReference w:id="3"/>
      </w:r>
    </w:p>
    <w:p w14:paraId="5B03F674" w14:textId="14C39A6E" w:rsidR="004E076F" w:rsidRPr="00B279CC" w:rsidRDefault="007F5BF4" w:rsidP="004E076F">
      <w:pPr>
        <w:spacing w:before="120"/>
      </w:pPr>
      <w:r>
        <w:t xml:space="preserve">The inventory compilation cycle has </w:t>
      </w:r>
      <w:r w:rsidR="004E076F">
        <w:t xml:space="preserve">two </w:t>
      </w:r>
      <w:r w:rsidR="00F00610">
        <w:t xml:space="preserve">core </w:t>
      </w:r>
      <w:r w:rsidR="004E076F">
        <w:t>underpinning and distinct processes</w:t>
      </w:r>
      <w:r w:rsidR="007F61E6">
        <w:t xml:space="preserve">: </w:t>
      </w:r>
      <w:r w:rsidR="00805628">
        <w:t>quality assurance/quality control (</w:t>
      </w:r>
      <w:r w:rsidR="004E076F">
        <w:t>QA/QC</w:t>
      </w:r>
      <w:r w:rsidR="00805628">
        <w:t>)</w:t>
      </w:r>
      <w:r w:rsidR="00805628">
        <w:rPr>
          <w:rStyle w:val="FootnoteReference"/>
        </w:rPr>
        <w:footnoteReference w:id="4"/>
      </w:r>
      <w:r w:rsidR="004E076F">
        <w:t xml:space="preserve"> activities</w:t>
      </w:r>
      <w:r w:rsidR="008C1A71">
        <w:t>,</w:t>
      </w:r>
      <w:r w:rsidR="004E076F">
        <w:t xml:space="preserve"> and archiving.</w:t>
      </w:r>
      <w:r w:rsidR="004E076F" w:rsidRPr="00B279CC">
        <w:t xml:space="preserve"> </w:t>
      </w:r>
      <w:r w:rsidR="004E076F">
        <w:t xml:space="preserve">Effective and efficient QA/QC should happen at every stage </w:t>
      </w:r>
      <w:r w:rsidR="00543E89">
        <w:t>of</w:t>
      </w:r>
      <w:r w:rsidR="004E076F">
        <w:t xml:space="preserve"> inventory compilation</w:t>
      </w:r>
      <w:r w:rsidR="007F61E6">
        <w:t>, and a</w:t>
      </w:r>
      <w:r w:rsidR="004E076F">
        <w:t xml:space="preserve"> complete archive of all electronic and written materials relevant to the compilation cycle should be created for each </w:t>
      </w:r>
      <w:r w:rsidR="004E26F8">
        <w:t xml:space="preserve">completed </w:t>
      </w:r>
      <w:r w:rsidR="004E076F">
        <w:t>GHG inventory</w:t>
      </w:r>
      <w:r w:rsidR="0073453D">
        <w:t xml:space="preserve"> so future users can reproduce the estimates</w:t>
      </w:r>
      <w:r w:rsidR="004E076F">
        <w:t>.</w:t>
      </w:r>
    </w:p>
    <w:p w14:paraId="27D75F44" w14:textId="04E700A9" w:rsidR="00BB49FE" w:rsidRDefault="00190DBB" w:rsidP="00984CC9">
      <w:pPr>
        <w:pStyle w:val="Heading1"/>
      </w:pPr>
      <w:r>
        <w:t xml:space="preserve">How </w:t>
      </w:r>
      <w:r w:rsidR="00F024B1">
        <w:t>T</w:t>
      </w:r>
      <w:r w:rsidR="004E076F" w:rsidRPr="00513D9F">
        <w:t>h</w:t>
      </w:r>
      <w:r w:rsidR="007F61E6">
        <w:t>is</w:t>
      </w:r>
      <w:r w:rsidR="004E076F" w:rsidRPr="00513D9F">
        <w:t xml:space="preserve"> </w:t>
      </w:r>
      <w:r w:rsidR="00F024B1">
        <w:t>T</w:t>
      </w:r>
      <w:r w:rsidR="004E076F" w:rsidRPr="00513D9F">
        <w:t xml:space="preserve">oolkit </w:t>
      </w:r>
      <w:r w:rsidR="00F024B1">
        <w:t>C</w:t>
      </w:r>
      <w:r w:rsidR="003F73E8">
        <w:t xml:space="preserve">an </w:t>
      </w:r>
      <w:r w:rsidR="00F024B1">
        <w:t>H</w:t>
      </w:r>
      <w:r>
        <w:t>elp</w:t>
      </w:r>
    </w:p>
    <w:p w14:paraId="7CBA992D" w14:textId="718FF453" w:rsidR="002F0B78" w:rsidRDefault="004E076F" w:rsidP="004E076F">
      <w:r>
        <w:t>This toolkit includes templates</w:t>
      </w:r>
      <w:r w:rsidR="0088156C">
        <w:t>, tools</w:t>
      </w:r>
      <w:r w:rsidR="007F61E6">
        <w:t>,</w:t>
      </w:r>
      <w:r w:rsidR="0088156C">
        <w:t xml:space="preserve"> and guides</w:t>
      </w:r>
      <w:r>
        <w:t xml:space="preserve"> </w:t>
      </w:r>
      <w:r w:rsidR="00C23E16">
        <w:t>describing</w:t>
      </w:r>
      <w:r>
        <w:t xml:space="preserve"> the steps of </w:t>
      </w:r>
      <w:r w:rsidR="007F61E6">
        <w:t xml:space="preserve">designing and </w:t>
      </w:r>
      <w:r>
        <w:t xml:space="preserve">building a national </w:t>
      </w:r>
      <w:r w:rsidR="007F61E6">
        <w:t xml:space="preserve">GHG </w:t>
      </w:r>
      <w:r>
        <w:t xml:space="preserve">inventory </w:t>
      </w:r>
      <w:r w:rsidR="00EF1DB9">
        <w:t xml:space="preserve">management </w:t>
      </w:r>
      <w:r>
        <w:t xml:space="preserve">system </w:t>
      </w:r>
      <w:r w:rsidR="007D1F84">
        <w:t xml:space="preserve">that you will apply </w:t>
      </w:r>
      <w:r w:rsidR="0073453D">
        <w:t>over an inventory compilation cycle</w:t>
      </w:r>
      <w:r w:rsidR="00BB49FE">
        <w:t xml:space="preserve">. The </w:t>
      </w:r>
      <w:r w:rsidR="004C61EE">
        <w:t>resources in this</w:t>
      </w:r>
      <w:r w:rsidR="00BB49FE">
        <w:t xml:space="preserve"> toolkit are </w:t>
      </w:r>
      <w:r w:rsidR="000F569E">
        <w:t>consistent with</w:t>
      </w:r>
      <w:r w:rsidR="007F61E6">
        <w:t xml:space="preserve"> Intergovernmental Panel on Climate </w:t>
      </w:r>
      <w:r w:rsidR="007F61E6">
        <w:lastRenderedPageBreak/>
        <w:t>Change (IPCC) “</w:t>
      </w:r>
      <w:r w:rsidR="000F569E">
        <w:t>good practices</w:t>
      </w:r>
      <w:r w:rsidR="007F61E6">
        <w:t>”</w:t>
      </w:r>
      <w:r w:rsidR="00BB49FE" w:rsidRPr="00BB49FE">
        <w:t xml:space="preserve"> </w:t>
      </w:r>
      <w:r w:rsidR="004C61EE">
        <w:t>a</w:t>
      </w:r>
      <w:r w:rsidR="00BB49FE">
        <w:t xml:space="preserve">nd </w:t>
      </w:r>
      <w:r w:rsidR="00BB49FE" w:rsidRPr="005C6A9E">
        <w:t>UNFCCC guidelines for national GHG inventory development</w:t>
      </w:r>
      <w:r w:rsidR="008A485D">
        <w:t xml:space="preserve">, including the modalities, procedures, and guidelines for </w:t>
      </w:r>
      <w:r w:rsidR="00C663FB">
        <w:t xml:space="preserve">future </w:t>
      </w:r>
      <w:r w:rsidR="008A485D">
        <w:t xml:space="preserve">reporting </w:t>
      </w:r>
      <w:r w:rsidR="00C663FB">
        <w:t xml:space="preserve">of </w:t>
      </w:r>
      <w:r w:rsidR="008A485D">
        <w:t>national greenhouse gas inventories under the</w:t>
      </w:r>
      <w:r w:rsidR="001E2177">
        <w:t xml:space="preserve"> </w:t>
      </w:r>
      <w:r w:rsidR="00B259E8">
        <w:t>ETF</w:t>
      </w:r>
      <w:r w:rsidR="00BB49FE">
        <w:t xml:space="preserve">. </w:t>
      </w:r>
      <w:r w:rsidR="002F0B78">
        <w:t>The toolkit’s “learning-by-doing” approach will help you incrementally build</w:t>
      </w:r>
      <w:r w:rsidR="0018592D">
        <w:t xml:space="preserve"> and document</w:t>
      </w:r>
      <w:r w:rsidR="002F0B78">
        <w:t xml:space="preserve"> a national GHG inventory system that suits your national context. </w:t>
      </w:r>
    </w:p>
    <w:p w14:paraId="60DBEF56" w14:textId="3511D09A" w:rsidR="004E076F" w:rsidRDefault="002F0B78" w:rsidP="004E076F">
      <w:r>
        <w:t>When you have</w:t>
      </w:r>
      <w:r w:rsidR="00D51A39">
        <w:t xml:space="preserve"> applied and</w:t>
      </w:r>
      <w:r>
        <w:t xml:space="preserve"> completed the toolkit’s </w:t>
      </w:r>
      <w:r w:rsidR="00711140">
        <w:t>materials</w:t>
      </w:r>
      <w:r>
        <w:t xml:space="preserve"> that you find helpful, you may</w:t>
      </w:r>
      <w:r w:rsidR="004E076F">
        <w:t xml:space="preserve"> </w:t>
      </w:r>
      <w:r w:rsidR="00190DBB">
        <w:t xml:space="preserve">collate </w:t>
      </w:r>
      <w:r>
        <w:t xml:space="preserve">them </w:t>
      </w:r>
      <w:r w:rsidR="00190DBB">
        <w:t>into your own</w:t>
      </w:r>
      <w:r w:rsidR="004E076F">
        <w:t xml:space="preserve"> </w:t>
      </w:r>
      <w:r w:rsidR="000F569E">
        <w:t>“</w:t>
      </w:r>
      <w:r w:rsidR="00797B47">
        <w:t xml:space="preserve">National </w:t>
      </w:r>
      <w:r w:rsidR="004E076F">
        <w:t>GHG Inventory Management System Manual</w:t>
      </w:r>
      <w:r w:rsidR="000F569E">
        <w:t>”</w:t>
      </w:r>
      <w:r>
        <w:t xml:space="preserve"> that</w:t>
      </w:r>
      <w:r w:rsidR="004E076F">
        <w:t xml:space="preserve"> </w:t>
      </w:r>
      <w:r w:rsidR="00190DBB">
        <w:t>document</w:t>
      </w:r>
      <w:r>
        <w:t>s</w:t>
      </w:r>
      <w:r w:rsidR="004E076F">
        <w:t xml:space="preserve"> your schedule, </w:t>
      </w:r>
      <w:r w:rsidR="007D1F84">
        <w:t xml:space="preserve">institutional </w:t>
      </w:r>
      <w:r w:rsidR="004E076F">
        <w:t>arrangements,</w:t>
      </w:r>
      <w:r w:rsidR="007D1F84">
        <w:t xml:space="preserve"> methods and data, key category analysis, QA/QC procedures,</w:t>
      </w:r>
      <w:r w:rsidR="004E076F">
        <w:t xml:space="preserve"> </w:t>
      </w:r>
      <w:r w:rsidR="007D1F84">
        <w:t xml:space="preserve">inventory </w:t>
      </w:r>
      <w:r w:rsidR="004E076F">
        <w:t>improvement plan</w:t>
      </w:r>
      <w:r>
        <w:t>,</w:t>
      </w:r>
      <w:r w:rsidR="004E076F">
        <w:t xml:space="preserve"> and archiving</w:t>
      </w:r>
      <w:r w:rsidR="007D1F84">
        <w:t xml:space="preserve"> system</w:t>
      </w:r>
      <w:r w:rsidR="004E076F">
        <w:t>.</w:t>
      </w:r>
      <w:r w:rsidR="00190DBB">
        <w:t xml:space="preserve"> This </w:t>
      </w:r>
      <w:r w:rsidR="000F569E">
        <w:t xml:space="preserve">manual </w:t>
      </w:r>
      <w:r w:rsidR="00711140">
        <w:t xml:space="preserve">may </w:t>
      </w:r>
      <w:r w:rsidR="00190DBB">
        <w:t xml:space="preserve">be very </w:t>
      </w:r>
      <w:r w:rsidR="000F569E">
        <w:t xml:space="preserve">useful </w:t>
      </w:r>
      <w:r w:rsidR="00190DBB">
        <w:t xml:space="preserve">to future key inventory staff or team members </w:t>
      </w:r>
      <w:r>
        <w:t xml:space="preserve">when they </w:t>
      </w:r>
      <w:r w:rsidR="00190DBB">
        <w:t>prepar</w:t>
      </w:r>
      <w:r>
        <w:t>e</w:t>
      </w:r>
      <w:r w:rsidR="00190DBB">
        <w:t xml:space="preserve"> </w:t>
      </w:r>
      <w:r>
        <w:t>subsequent</w:t>
      </w:r>
      <w:r w:rsidR="000F569E">
        <w:t xml:space="preserve"> </w:t>
      </w:r>
      <w:r w:rsidR="00190DBB">
        <w:t>national invento</w:t>
      </w:r>
      <w:r w:rsidR="000F569E">
        <w:t>r</w:t>
      </w:r>
      <w:r>
        <w:t>ies</w:t>
      </w:r>
      <w:r w:rsidR="00190DBB">
        <w:t xml:space="preserve"> for </w:t>
      </w:r>
      <w:r>
        <w:t xml:space="preserve">reporting to the </w:t>
      </w:r>
      <w:r w:rsidR="00190DBB">
        <w:t>UNFCCC or</w:t>
      </w:r>
      <w:r>
        <w:t xml:space="preserve"> for</w:t>
      </w:r>
      <w:r w:rsidR="00190DBB">
        <w:t xml:space="preserve"> other purposes.</w:t>
      </w:r>
      <w:r w:rsidR="00C3090D">
        <w:t xml:space="preserve">  </w:t>
      </w:r>
    </w:p>
    <w:p w14:paraId="70799F37" w14:textId="6F155A9C" w:rsidR="004E076F" w:rsidRDefault="004E076F" w:rsidP="004E076F">
      <w:r>
        <w:t xml:space="preserve">There are </w:t>
      </w:r>
      <w:r w:rsidR="002F0B78">
        <w:t>four</w:t>
      </w:r>
      <w:r>
        <w:t xml:space="preserve"> </w:t>
      </w:r>
      <w:r w:rsidR="0088156C">
        <w:t xml:space="preserve">types of </w:t>
      </w:r>
      <w:r w:rsidR="007D1F84">
        <w:t>resources in</w:t>
      </w:r>
      <w:r w:rsidR="0088156C">
        <w:t xml:space="preserve"> this</w:t>
      </w:r>
      <w:r>
        <w:t xml:space="preserve"> toolkit</w:t>
      </w:r>
      <w:r w:rsidR="00F85FC1">
        <w:t>:</w:t>
      </w:r>
    </w:p>
    <w:p w14:paraId="3F9F303B" w14:textId="077C7B51" w:rsidR="0088156C" w:rsidRDefault="0023072C" w:rsidP="0088156C">
      <w:pPr>
        <w:pStyle w:val="ListParagraph"/>
        <w:numPr>
          <w:ilvl w:val="0"/>
          <w:numId w:val="5"/>
        </w:numPr>
      </w:pPr>
      <w:r>
        <w:t>National GHG i</w:t>
      </w:r>
      <w:r w:rsidR="00E83223">
        <w:t xml:space="preserve">nventory </w:t>
      </w:r>
      <w:r>
        <w:t>s</w:t>
      </w:r>
      <w:r w:rsidR="00E83223">
        <w:t xml:space="preserve">ystem </w:t>
      </w:r>
      <w:r>
        <w:t>t</w:t>
      </w:r>
      <w:r w:rsidR="00E83223">
        <w:t>emplate</w:t>
      </w:r>
      <w:r>
        <w:t xml:space="preserve">s and </w:t>
      </w:r>
      <w:r w:rsidR="00CB1E22">
        <w:t xml:space="preserve">supporting </w:t>
      </w:r>
      <w:r>
        <w:t>templates (e.g.,</w:t>
      </w:r>
      <w:r w:rsidR="00CB1E22">
        <w:t xml:space="preserve"> an example of </w:t>
      </w:r>
      <w:r w:rsidR="00100B9B">
        <w:t>a supporting</w:t>
      </w:r>
      <w:r w:rsidR="00CB1E22">
        <w:t xml:space="preserve"> </w:t>
      </w:r>
      <w:r w:rsidR="00BB49FE">
        <w:t>template</w:t>
      </w:r>
      <w:r w:rsidR="00CB1E22">
        <w:t xml:space="preserve"> includes</w:t>
      </w:r>
      <w:r>
        <w:t xml:space="preserve"> composing a memorandum of </w:t>
      </w:r>
      <w:r w:rsidR="00496187">
        <w:t xml:space="preserve">cooperation </w:t>
      </w:r>
      <w:r w:rsidR="00BB49FE">
        <w:t>for data collection</w:t>
      </w:r>
      <w:r>
        <w:t xml:space="preserve"> or </w:t>
      </w:r>
      <w:r w:rsidR="008C1A56">
        <w:t>scope</w:t>
      </w:r>
      <w:r>
        <w:t xml:space="preserve"> of work</w:t>
      </w:r>
      <w:r w:rsidR="00BB49FE">
        <w:t xml:space="preserve"> to engage external support for inventory compilation</w:t>
      </w:r>
      <w:r>
        <w:t>)</w:t>
      </w:r>
    </w:p>
    <w:p w14:paraId="3724011C" w14:textId="5241D22E" w:rsidR="0088156C" w:rsidRDefault="0088156C" w:rsidP="0088156C">
      <w:pPr>
        <w:pStyle w:val="ListParagraph"/>
        <w:numPr>
          <w:ilvl w:val="0"/>
          <w:numId w:val="5"/>
        </w:numPr>
      </w:pPr>
      <w:r>
        <w:t>Guides (</w:t>
      </w:r>
      <w:r w:rsidR="00BA0EC5">
        <w:t>e.g.,</w:t>
      </w:r>
      <w:r>
        <w:t xml:space="preserve"> </w:t>
      </w:r>
      <w:r w:rsidR="00BB49FE">
        <w:t xml:space="preserve">references </w:t>
      </w:r>
      <w:r w:rsidR="00711140">
        <w:t>for</w:t>
      </w:r>
      <w:r w:rsidR="00BA0EC5">
        <w:t xml:space="preserve"> understanding </w:t>
      </w:r>
      <w:r>
        <w:t>sector roles and responsibilities</w:t>
      </w:r>
      <w:r w:rsidR="00BB49FE">
        <w:t xml:space="preserve"> to inform position descriptions</w:t>
      </w:r>
      <w:r>
        <w:t>)</w:t>
      </w:r>
    </w:p>
    <w:p w14:paraId="282066F0" w14:textId="4D937DF5" w:rsidR="000B7F8E" w:rsidRDefault="000B7F8E" w:rsidP="00190DBB">
      <w:pPr>
        <w:pStyle w:val="ListParagraph"/>
        <w:numPr>
          <w:ilvl w:val="0"/>
          <w:numId w:val="5"/>
        </w:numPr>
      </w:pPr>
      <w:r>
        <w:t xml:space="preserve">Key Category Analysis </w:t>
      </w:r>
      <w:r w:rsidR="0023072C">
        <w:t>t</w:t>
      </w:r>
      <w:r>
        <w:t xml:space="preserve">ool and </w:t>
      </w:r>
      <w:r w:rsidR="0023072C">
        <w:t>t</w:t>
      </w:r>
      <w:r>
        <w:t>utorial</w:t>
      </w:r>
      <w:r w:rsidR="00E83223">
        <w:t xml:space="preserve"> </w:t>
      </w:r>
      <w:r w:rsidR="0023072C">
        <w:t>s</w:t>
      </w:r>
      <w:r w:rsidR="00E83223">
        <w:t>eries</w:t>
      </w:r>
    </w:p>
    <w:p w14:paraId="50E0BC46" w14:textId="2E540E4D" w:rsidR="004E076F" w:rsidRDefault="004E076F" w:rsidP="00190DBB">
      <w:pPr>
        <w:pStyle w:val="ListParagraph"/>
        <w:numPr>
          <w:ilvl w:val="0"/>
          <w:numId w:val="5"/>
        </w:numPr>
      </w:pPr>
      <w:r>
        <w:t xml:space="preserve">Inventory Progress Indicator </w:t>
      </w:r>
      <w:r w:rsidR="0023072C">
        <w:t>(</w:t>
      </w:r>
      <w:r w:rsidR="00193562">
        <w:t>IPI</w:t>
      </w:r>
      <w:r w:rsidR="0023072C">
        <w:t xml:space="preserve">) </w:t>
      </w:r>
      <w:r w:rsidR="00711140">
        <w:t>t</w:t>
      </w:r>
      <w:r>
        <w:t>ool</w:t>
      </w:r>
    </w:p>
    <w:p w14:paraId="28DD449E" w14:textId="69B561D5" w:rsidR="00665A18" w:rsidRDefault="00F85FC1">
      <w:r>
        <w:t>The purpose of each of these</w:t>
      </w:r>
      <w:r w:rsidR="007D1F84">
        <w:t xml:space="preserve"> resources</w:t>
      </w:r>
      <w:r>
        <w:t xml:space="preserve"> is to facilitate the development of key elements of your national GHG inventory system. </w:t>
      </w:r>
      <w:r w:rsidR="00665A18">
        <w:t xml:space="preserve">Detailed information on each of the four types of </w:t>
      </w:r>
      <w:r w:rsidR="007D1F84">
        <w:t xml:space="preserve">resources </w:t>
      </w:r>
      <w:r w:rsidR="00592317">
        <w:t>is provided below</w:t>
      </w:r>
      <w:r w:rsidR="00665A18">
        <w:t>.</w:t>
      </w:r>
      <w:r w:rsidR="00907CA9">
        <w:t xml:space="preserve"> </w:t>
      </w:r>
    </w:p>
    <w:p w14:paraId="3EACD827" w14:textId="0631183E" w:rsidR="00BA0EC5" w:rsidRDefault="002A24DE" w:rsidP="00A62535">
      <w:pPr>
        <w:pStyle w:val="Heading2"/>
      </w:pPr>
      <w:r>
        <w:t xml:space="preserve">Templates for Creating a National GHG Inventory System Manual, </w:t>
      </w:r>
      <w:r w:rsidR="00665A18">
        <w:t xml:space="preserve">and </w:t>
      </w:r>
      <w:r w:rsidR="008C1A71">
        <w:t>S</w:t>
      </w:r>
      <w:r w:rsidR="00C2583B">
        <w:t>upporting</w:t>
      </w:r>
      <w:r w:rsidR="008C1A71">
        <w:t xml:space="preserve"> T</w:t>
      </w:r>
      <w:r w:rsidR="00665A18">
        <w:t>emplates</w:t>
      </w:r>
    </w:p>
    <w:p w14:paraId="4556BAFB" w14:textId="6E771B9E" w:rsidR="0068468B" w:rsidRDefault="00E34228" w:rsidP="00E34228">
      <w:r>
        <w:t xml:space="preserve">A template is a model for a plan, procedure, or </w:t>
      </w:r>
      <w:r w:rsidR="007D1F84">
        <w:t>other resource to which inventory team members may refer for guidance as needed</w:t>
      </w:r>
      <w:r>
        <w:t xml:space="preserve">. It offers you a starting point </w:t>
      </w:r>
      <w:r w:rsidR="0052438E">
        <w:t xml:space="preserve">that </w:t>
      </w:r>
      <w:r>
        <w:t xml:space="preserve">you may customize according to your needs. </w:t>
      </w:r>
    </w:p>
    <w:p w14:paraId="1B4126E4" w14:textId="23F10C56" w:rsidR="0068468B" w:rsidRDefault="0068468B" w:rsidP="00797B47">
      <w:r>
        <w:t xml:space="preserve">The U.S. EPA’s </w:t>
      </w:r>
      <w:r w:rsidR="002A24DE" w:rsidRPr="0079769B">
        <w:rPr>
          <w:i/>
        </w:rPr>
        <w:t>Templates for Creating a National GHG Inventory System Manual</w:t>
      </w:r>
      <w:r>
        <w:t xml:space="preserve"> are not designed to replace a GHG inventory report, or the GHG inventory information that should be in</w:t>
      </w:r>
      <w:r w:rsidR="008A485D">
        <w:t>cluded in</w:t>
      </w:r>
      <w:r>
        <w:t xml:space="preserve"> reporting </w:t>
      </w:r>
      <w:r w:rsidR="00BC53F7">
        <w:t xml:space="preserve">to </w:t>
      </w:r>
      <w:r>
        <w:t>the UNFCCC</w:t>
      </w:r>
      <w:r w:rsidR="008A485D">
        <w:t xml:space="preserve"> (e.g.</w:t>
      </w:r>
      <w:r w:rsidR="004D7E58">
        <w:t>,</w:t>
      </w:r>
      <w:r w:rsidR="008A485D">
        <w:t xml:space="preserve"> Biennial Update Report, National Communication, or </w:t>
      </w:r>
      <w:r w:rsidR="00BC53F7">
        <w:t xml:space="preserve">future </w:t>
      </w:r>
      <w:r w:rsidR="008A485D">
        <w:t>Biennial Transparency Report)</w:t>
      </w:r>
      <w:r>
        <w:t xml:space="preserve"> or a domestic GHG inventory. Rather, these templates are meant to help you gather and compile the information you will need to include in these reports</w:t>
      </w:r>
      <w:r w:rsidR="00CE140E">
        <w:t>, consistent with</w:t>
      </w:r>
      <w:r w:rsidR="001E2177">
        <w:t xml:space="preserve"> the 2006</w:t>
      </w:r>
      <w:r w:rsidR="00CE140E">
        <w:t xml:space="preserve"> IPCC </w:t>
      </w:r>
      <w:r w:rsidR="001E2177">
        <w:t xml:space="preserve">Guidelines and </w:t>
      </w:r>
      <w:r w:rsidR="00CE140E">
        <w:t>good practices</w:t>
      </w:r>
      <w:r>
        <w:t xml:space="preserve">, and build </w:t>
      </w:r>
      <w:r w:rsidR="00D81374">
        <w:t xml:space="preserve">or improve </w:t>
      </w:r>
      <w:r>
        <w:t>the various components of your national GHG inventory system</w:t>
      </w:r>
      <w:r w:rsidR="00383CB5">
        <w:t xml:space="preserve"> (e.g., </w:t>
      </w:r>
      <w:r>
        <w:t>institutional arrangements</w:t>
      </w:r>
      <w:r w:rsidR="00383CB5">
        <w:t>)</w:t>
      </w:r>
      <w:r>
        <w:t>.</w:t>
      </w:r>
    </w:p>
    <w:p w14:paraId="24663772" w14:textId="658AE3D6" w:rsidR="0068468B" w:rsidRDefault="0068468B" w:rsidP="0068468B">
      <w:r w:rsidRPr="0068468B">
        <w:t xml:space="preserve">These templates will help you establish and maintain a system that enables continuous inventory improvement. They will do this by helping you identify the strengths and limitations of your current GHG inventory system, specifically its institutional arrangements, documentation of methods and data collection, key category analyses, QA/QC procedures, archiving practices, and improvement planning. They are intended to help you think through the </w:t>
      </w:r>
      <w:r w:rsidR="00575087">
        <w:t>challenges</w:t>
      </w:r>
      <w:r w:rsidR="00575087" w:rsidRPr="0068468B">
        <w:t xml:space="preserve"> </w:t>
      </w:r>
      <w:r w:rsidRPr="0068468B">
        <w:t xml:space="preserve">to improving the inventory, record </w:t>
      </w:r>
      <w:r w:rsidR="00383CB5">
        <w:t>those challenges</w:t>
      </w:r>
      <w:r w:rsidRPr="0068468B">
        <w:t>, and plan how to overcome them.</w:t>
      </w:r>
    </w:p>
    <w:p w14:paraId="4015CE70" w14:textId="53E80879" w:rsidR="00F85FC1" w:rsidRDefault="00383CB5">
      <w:r>
        <w:lastRenderedPageBreak/>
        <w:t xml:space="preserve">This </w:t>
      </w:r>
      <w:r w:rsidR="002911C0">
        <w:t>t</w:t>
      </w:r>
      <w:r>
        <w:t xml:space="preserve">oolkit contains </w:t>
      </w:r>
      <w:r w:rsidR="00665A18">
        <w:t>seven</w:t>
      </w:r>
      <w:r w:rsidR="00492A6C">
        <w:t xml:space="preserve"> </w:t>
      </w:r>
      <w:r w:rsidR="0079769B" w:rsidRPr="00702532">
        <w:rPr>
          <w:i/>
          <w:iCs/>
        </w:rPr>
        <w:t xml:space="preserve">Templates for Creating a </w:t>
      </w:r>
      <w:r w:rsidR="00492A6C" w:rsidRPr="00702532">
        <w:rPr>
          <w:i/>
          <w:iCs/>
        </w:rPr>
        <w:t>National GHG Inventory S</w:t>
      </w:r>
      <w:r w:rsidR="0023072C" w:rsidRPr="00702532">
        <w:rPr>
          <w:i/>
          <w:iCs/>
        </w:rPr>
        <w:t>ystem</w:t>
      </w:r>
      <w:r w:rsidR="0079769B" w:rsidRPr="00702532">
        <w:rPr>
          <w:i/>
          <w:iCs/>
        </w:rPr>
        <w:t xml:space="preserve"> Manual</w:t>
      </w:r>
      <w:r w:rsidR="0023072C">
        <w:t>,</w:t>
      </w:r>
      <w:r w:rsidR="0079769B">
        <w:t xml:space="preserve"> and four supporting templates</w:t>
      </w:r>
      <w:r w:rsidR="00172B5F">
        <w:t xml:space="preserve"> that supplement the seven Inventory System Templates</w:t>
      </w:r>
      <w:r w:rsidR="0079769B">
        <w:t>,</w:t>
      </w:r>
      <w:r w:rsidR="0023072C">
        <w:t xml:space="preserve"> as t</w:t>
      </w:r>
      <w:r w:rsidR="00BA0EC5">
        <w:t xml:space="preserve">he following </w:t>
      </w:r>
      <w:r w:rsidR="00914937">
        <w:t>T</w:t>
      </w:r>
      <w:r w:rsidR="00BA0EC5">
        <w:t>able</w:t>
      </w:r>
      <w:r w:rsidR="00914937">
        <w:t xml:space="preserve"> 1</w:t>
      </w:r>
      <w:r w:rsidR="00BA0EC5">
        <w:t xml:space="preserve"> </w:t>
      </w:r>
      <w:r w:rsidR="0023072C">
        <w:t>shows:</w:t>
      </w:r>
    </w:p>
    <w:p w14:paraId="25DC7495" w14:textId="24FE22AF" w:rsidR="0023072C" w:rsidRPr="00E56AE3" w:rsidRDefault="0023072C" w:rsidP="00A62535">
      <w:pPr>
        <w:pStyle w:val="Caption"/>
        <w:rPr>
          <w:rFonts w:asciiTheme="minorHAnsi" w:hAnsiTheme="minorHAnsi"/>
          <w:sz w:val="24"/>
          <w:szCs w:val="24"/>
        </w:rPr>
      </w:pPr>
      <w:r w:rsidRPr="00E56AE3">
        <w:rPr>
          <w:rFonts w:asciiTheme="minorHAnsi" w:hAnsiTheme="minorHAnsi"/>
          <w:sz w:val="24"/>
          <w:szCs w:val="24"/>
        </w:rPr>
        <w:t xml:space="preserve">Table </w:t>
      </w:r>
      <w:r w:rsidR="00E51F64" w:rsidRPr="00E56AE3">
        <w:rPr>
          <w:rFonts w:asciiTheme="minorHAnsi" w:hAnsiTheme="minorHAnsi"/>
          <w:sz w:val="24"/>
          <w:szCs w:val="24"/>
        </w:rPr>
        <w:fldChar w:fldCharType="begin"/>
      </w:r>
      <w:r w:rsidR="00E51F64" w:rsidRPr="00E56AE3">
        <w:rPr>
          <w:rFonts w:asciiTheme="minorHAnsi" w:hAnsiTheme="minorHAnsi"/>
          <w:sz w:val="24"/>
          <w:szCs w:val="24"/>
        </w:rPr>
        <w:instrText xml:space="preserve"> SEQ Table \* ARABIC </w:instrText>
      </w:r>
      <w:r w:rsidR="00E51F64" w:rsidRPr="00E56AE3">
        <w:rPr>
          <w:rFonts w:asciiTheme="minorHAnsi" w:hAnsiTheme="minorHAnsi"/>
          <w:sz w:val="24"/>
          <w:szCs w:val="24"/>
        </w:rPr>
        <w:fldChar w:fldCharType="separate"/>
      </w:r>
      <w:r w:rsidR="003F04E9" w:rsidRPr="00E56AE3">
        <w:rPr>
          <w:rFonts w:asciiTheme="minorHAnsi" w:hAnsiTheme="minorHAnsi"/>
          <w:noProof/>
          <w:sz w:val="24"/>
          <w:szCs w:val="24"/>
        </w:rPr>
        <w:t>1</w:t>
      </w:r>
      <w:r w:rsidR="00E51F64" w:rsidRPr="00E56AE3">
        <w:rPr>
          <w:rFonts w:asciiTheme="minorHAnsi" w:hAnsiTheme="minorHAnsi"/>
          <w:noProof/>
          <w:sz w:val="24"/>
          <w:szCs w:val="24"/>
        </w:rPr>
        <w:fldChar w:fldCharType="end"/>
      </w:r>
      <w:r w:rsidRPr="00E56AE3">
        <w:rPr>
          <w:rFonts w:asciiTheme="minorHAnsi" w:hAnsiTheme="minorHAnsi"/>
          <w:sz w:val="24"/>
          <w:szCs w:val="24"/>
        </w:rPr>
        <w:t xml:space="preserve">. </w:t>
      </w:r>
      <w:r w:rsidR="002A24DE" w:rsidRPr="00E56AE3">
        <w:rPr>
          <w:rFonts w:asciiTheme="minorHAnsi" w:hAnsiTheme="minorHAnsi"/>
          <w:sz w:val="24"/>
          <w:szCs w:val="24"/>
        </w:rPr>
        <w:t>Templates for Creating a National GHG Inventory System Manual</w:t>
      </w:r>
      <w:r w:rsidR="0079769B">
        <w:rPr>
          <w:rFonts w:asciiTheme="minorHAnsi" w:hAnsiTheme="minorHAnsi"/>
          <w:sz w:val="24"/>
          <w:szCs w:val="24"/>
        </w:rPr>
        <w:t>, and Supporting T</w:t>
      </w:r>
      <w:r w:rsidR="00E56AE3">
        <w:rPr>
          <w:rFonts w:asciiTheme="minorHAnsi" w:hAnsiTheme="minorHAnsi"/>
          <w:sz w:val="24"/>
          <w:szCs w:val="24"/>
        </w:rPr>
        <w:t>emplates</w:t>
      </w:r>
    </w:p>
    <w:tbl>
      <w:tblPr>
        <w:tblStyle w:val="GridTable4-Accent1"/>
        <w:tblW w:w="13045" w:type="dxa"/>
        <w:tblLook w:val="04A0" w:firstRow="1" w:lastRow="0" w:firstColumn="1" w:lastColumn="0" w:noHBand="0" w:noVBand="1"/>
      </w:tblPr>
      <w:tblGrid>
        <w:gridCol w:w="3775"/>
        <w:gridCol w:w="9270"/>
      </w:tblGrid>
      <w:tr w:rsidR="007D1F84" w:rsidRPr="00C2583B" w14:paraId="6BFFC660" w14:textId="2FF25BF1" w:rsidTr="009A29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vAlign w:val="bottom"/>
          </w:tcPr>
          <w:p w14:paraId="0DD3090A" w14:textId="1F809A3A" w:rsidR="007D1F84" w:rsidRPr="00C2583B" w:rsidRDefault="009245DA" w:rsidP="0062776D">
            <w:pPr>
              <w:jc w:val="center"/>
              <w:rPr>
                <w:rFonts w:eastAsiaTheme="majorEastAsia" w:cstheme="majorBidi"/>
                <w:spacing w:val="5"/>
                <w:kern w:val="28"/>
              </w:rPr>
            </w:pPr>
            <w:r>
              <w:rPr>
                <w:rFonts w:eastAsiaTheme="majorEastAsia" w:cstheme="majorBidi"/>
                <w:spacing w:val="5"/>
                <w:kern w:val="28"/>
              </w:rPr>
              <w:t xml:space="preserve">Inventory System </w:t>
            </w:r>
            <w:r w:rsidRPr="00C2583B">
              <w:rPr>
                <w:rFonts w:eastAsiaTheme="majorEastAsia" w:cstheme="majorBidi"/>
                <w:spacing w:val="5"/>
                <w:kern w:val="28"/>
              </w:rPr>
              <w:t>Template</w:t>
            </w:r>
            <w:r>
              <w:rPr>
                <w:rFonts w:eastAsiaTheme="majorEastAsia" w:cstheme="majorBidi"/>
                <w:spacing w:val="5"/>
                <w:kern w:val="28"/>
              </w:rPr>
              <w:t>s</w:t>
            </w:r>
          </w:p>
        </w:tc>
        <w:tc>
          <w:tcPr>
            <w:tcW w:w="9270" w:type="dxa"/>
            <w:vAlign w:val="bottom"/>
          </w:tcPr>
          <w:p w14:paraId="740E848B" w14:textId="7CC648A0" w:rsidR="007D1F84" w:rsidRPr="00C2583B" w:rsidRDefault="007D1F84" w:rsidP="0062776D">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pacing w:val="5"/>
                <w:kern w:val="28"/>
              </w:rPr>
            </w:pPr>
            <w:r w:rsidRPr="00C2583B">
              <w:rPr>
                <w:rFonts w:eastAsiaTheme="majorEastAsia" w:cstheme="majorBidi"/>
                <w:spacing w:val="5"/>
                <w:kern w:val="28"/>
              </w:rPr>
              <w:t>Purpose</w:t>
            </w:r>
          </w:p>
        </w:tc>
      </w:tr>
      <w:tr w:rsidR="007D1F84" w:rsidRPr="00C2583B" w14:paraId="5BBA6E9A" w14:textId="358CB895"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42301649" w14:textId="55D8E36D" w:rsidR="007D1F84" w:rsidRPr="008C1A71" w:rsidRDefault="007D1F84" w:rsidP="007D1F84">
            <w:pPr>
              <w:rPr>
                <w:rFonts w:eastAsiaTheme="majorEastAsia" w:cstheme="majorBidi"/>
                <w:color w:val="323E4F" w:themeColor="text2" w:themeShade="BF"/>
                <w:spacing w:val="5"/>
                <w:kern w:val="28"/>
              </w:rPr>
            </w:pPr>
            <w:r w:rsidRPr="005E7484">
              <w:t xml:space="preserve">1. </w:t>
            </w:r>
            <w:r w:rsidR="00F13AEC">
              <w:t xml:space="preserve">How to Use the Templates </w:t>
            </w:r>
            <w:r w:rsidR="00870128">
              <w:t>(</w:t>
            </w:r>
            <w:r w:rsidR="00F13AEC">
              <w:t>HUT</w:t>
            </w:r>
            <w:r w:rsidR="00870128">
              <w:t>)</w:t>
            </w:r>
          </w:p>
        </w:tc>
        <w:tc>
          <w:tcPr>
            <w:tcW w:w="9270" w:type="dxa"/>
          </w:tcPr>
          <w:p w14:paraId="49D3C1B1" w14:textId="0D48A66B" w:rsidR="00193562" w:rsidRPr="00DB1122" w:rsidRDefault="00D23917" w:rsidP="00D23917">
            <w:pPr>
              <w:cnfStyle w:val="000000100000" w:firstRow="0" w:lastRow="0" w:firstColumn="0" w:lastColumn="0" w:oddVBand="0" w:evenVBand="0" w:oddHBand="1" w:evenHBand="0" w:firstRowFirstColumn="0" w:firstRowLastColumn="0" w:lastRowFirstColumn="0" w:lastRowLastColumn="0"/>
              <w:rPr>
                <w:rFonts w:eastAsiaTheme="majorEastAsia" w:cstheme="majorBidi"/>
                <w:color w:val="323E4F" w:themeColor="text2" w:themeShade="BF"/>
                <w:spacing w:val="5"/>
                <w:kern w:val="28"/>
              </w:rPr>
            </w:pPr>
            <w:r w:rsidRPr="008C1A71">
              <w:t>Explain h</w:t>
            </w:r>
            <w:r w:rsidR="00193562" w:rsidRPr="008C1A71">
              <w:t xml:space="preserve">ow to use the </w:t>
            </w:r>
            <w:r w:rsidRPr="008C1A71">
              <w:t xml:space="preserve">National GHG Inventory System </w:t>
            </w:r>
            <w:r w:rsidR="00193562" w:rsidRPr="008C1A71">
              <w:t>templates</w:t>
            </w:r>
            <w:r w:rsidRPr="008C1A71">
              <w:t xml:space="preserve">, and provide the </w:t>
            </w:r>
            <w:r w:rsidR="00245C67">
              <w:t>National GHG Inventory Coordinator (</w:t>
            </w:r>
            <w:r w:rsidRPr="008C1A71">
              <w:t>NIC</w:t>
            </w:r>
            <w:r w:rsidR="00245C67">
              <w:t>)</w:t>
            </w:r>
            <w:r w:rsidRPr="008C1A71">
              <w:t xml:space="preserve"> with a table in which to record due dates for key compilation sta</w:t>
            </w:r>
            <w:r w:rsidR="006973E4" w:rsidRPr="008C1A71">
              <w:t>g</w:t>
            </w:r>
            <w:r w:rsidRPr="008C1A71">
              <w:t>es and another table in which to track progress with completing the other templates.</w:t>
            </w:r>
          </w:p>
        </w:tc>
      </w:tr>
      <w:tr w:rsidR="007D1F84" w:rsidRPr="00C2583B" w14:paraId="0E93834A" w14:textId="656F1E9C" w:rsidTr="009A2939">
        <w:tc>
          <w:tcPr>
            <w:cnfStyle w:val="001000000000" w:firstRow="0" w:lastRow="0" w:firstColumn="1" w:lastColumn="0" w:oddVBand="0" w:evenVBand="0" w:oddHBand="0" w:evenHBand="0" w:firstRowFirstColumn="0" w:firstRowLastColumn="0" w:lastRowFirstColumn="0" w:lastRowLastColumn="0"/>
            <w:tcW w:w="3775" w:type="dxa"/>
          </w:tcPr>
          <w:p w14:paraId="5ADB75E1" w14:textId="7B6C30F1" w:rsidR="007D1F84" w:rsidRPr="008C1A71" w:rsidRDefault="007D1F84" w:rsidP="0062776D">
            <w:r w:rsidRPr="005E7484">
              <w:t>2. Institutional Arrangements (IA)</w:t>
            </w:r>
          </w:p>
        </w:tc>
        <w:tc>
          <w:tcPr>
            <w:tcW w:w="9270" w:type="dxa"/>
          </w:tcPr>
          <w:p w14:paraId="304628AF" w14:textId="6271BC14" w:rsidR="007D1F84" w:rsidRPr="005E7484" w:rsidRDefault="007D1F84" w:rsidP="0062776D">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323E4F" w:themeColor="text2" w:themeShade="BF"/>
                <w:spacing w:val="5"/>
                <w:kern w:val="28"/>
              </w:rPr>
            </w:pPr>
            <w:r w:rsidRPr="00DB1122">
              <w:t>Assess and document existing arrangements for compilation, including data collection and review to ensure continuity</w:t>
            </w:r>
            <w:r w:rsidR="00D23917" w:rsidRPr="005E7484">
              <w:t>.</w:t>
            </w:r>
          </w:p>
        </w:tc>
      </w:tr>
      <w:tr w:rsidR="007D1F84" w:rsidRPr="00C2583B" w14:paraId="5D01E756" w14:textId="2A634A54"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6C7BA3DC" w14:textId="7C99AD67" w:rsidR="007D1F84" w:rsidRPr="008C1A71" w:rsidRDefault="00A02E15" w:rsidP="0062776D">
            <w:pPr>
              <w:rPr>
                <w:rFonts w:eastAsiaTheme="majorEastAsia" w:cstheme="majorBidi"/>
                <w:color w:val="323E4F" w:themeColor="text2" w:themeShade="BF"/>
                <w:spacing w:val="5"/>
                <w:kern w:val="28"/>
              </w:rPr>
            </w:pPr>
            <w:r w:rsidRPr="005E7484">
              <w:t>3</w:t>
            </w:r>
            <w:r w:rsidR="007D1F84" w:rsidRPr="005E7484">
              <w:t>. Methods</w:t>
            </w:r>
            <w:r w:rsidR="00383CB5">
              <w:t xml:space="preserve"> and </w:t>
            </w:r>
            <w:r w:rsidR="007D1F84" w:rsidRPr="005E7484">
              <w:t>Data Documentation (MDD)</w:t>
            </w:r>
          </w:p>
        </w:tc>
        <w:tc>
          <w:tcPr>
            <w:tcW w:w="9270" w:type="dxa"/>
          </w:tcPr>
          <w:p w14:paraId="5E4A21DC" w14:textId="1CF35AE0" w:rsidR="007D1F84" w:rsidRPr="00DC4D2D" w:rsidRDefault="00D23917" w:rsidP="00492A6C">
            <w:pPr>
              <w:cnfStyle w:val="000000100000" w:firstRow="0" w:lastRow="0" w:firstColumn="0" w:lastColumn="0" w:oddVBand="0" w:evenVBand="0" w:oddHBand="1" w:evenHBand="0" w:firstRowFirstColumn="0" w:firstRowLastColumn="0" w:lastRowFirstColumn="0" w:lastRowLastColumn="0"/>
            </w:pPr>
            <w:r w:rsidRPr="005E7484">
              <w:t>Help</w:t>
            </w:r>
            <w:r w:rsidR="007D1F84" w:rsidRPr="005E7484">
              <w:t xml:space="preserve"> inventory teams ensure estimates are transparent</w:t>
            </w:r>
            <w:r w:rsidR="00492A6C" w:rsidRPr="005E7484">
              <w:t xml:space="preserve"> and</w:t>
            </w:r>
            <w:r w:rsidR="007D1F84" w:rsidRPr="005E7484">
              <w:t xml:space="preserve"> reproducible by </w:t>
            </w:r>
            <w:r w:rsidR="00492A6C" w:rsidRPr="005E7484">
              <w:t xml:space="preserve">providing tables in which to record </w:t>
            </w:r>
            <w:r w:rsidR="007D1F84" w:rsidRPr="00DC4D2D">
              <w:t>information related to methods, assumptions, activity datasets, and emission factors used to</w:t>
            </w:r>
            <w:r w:rsidR="00492A6C" w:rsidRPr="00DC4D2D">
              <w:t xml:space="preserve"> estimate emissions or removals.</w:t>
            </w:r>
          </w:p>
        </w:tc>
      </w:tr>
      <w:tr w:rsidR="007D1F84" w:rsidRPr="00C2583B" w14:paraId="48F281ED" w14:textId="022E05A9" w:rsidTr="009A2939">
        <w:tc>
          <w:tcPr>
            <w:cnfStyle w:val="001000000000" w:firstRow="0" w:lastRow="0" w:firstColumn="1" w:lastColumn="0" w:oddVBand="0" w:evenVBand="0" w:oddHBand="0" w:evenHBand="0" w:firstRowFirstColumn="0" w:firstRowLastColumn="0" w:lastRowFirstColumn="0" w:lastRowLastColumn="0"/>
            <w:tcW w:w="3775" w:type="dxa"/>
          </w:tcPr>
          <w:p w14:paraId="0E9A871F" w14:textId="2789E667" w:rsidR="007D1F84" w:rsidRPr="008C1A71" w:rsidRDefault="00A02E15" w:rsidP="00492A6C">
            <w:pPr>
              <w:rPr>
                <w:rFonts w:eastAsiaTheme="majorEastAsia" w:cstheme="majorBidi"/>
                <w:color w:val="323E4F" w:themeColor="text2" w:themeShade="BF"/>
                <w:spacing w:val="5"/>
                <w:kern w:val="28"/>
              </w:rPr>
            </w:pPr>
            <w:r w:rsidRPr="005E7484">
              <w:t>4</w:t>
            </w:r>
            <w:r w:rsidR="007D1F84" w:rsidRPr="005E7484">
              <w:t>. QA/QC Procedures (QA/QC)</w:t>
            </w:r>
          </w:p>
        </w:tc>
        <w:tc>
          <w:tcPr>
            <w:tcW w:w="9270" w:type="dxa"/>
          </w:tcPr>
          <w:p w14:paraId="593E5FEA" w14:textId="2E9E3C55" w:rsidR="007D1F84" w:rsidRPr="00D91C66" w:rsidRDefault="007D1F84" w:rsidP="00492A6C">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323E4F" w:themeColor="text2" w:themeShade="BF"/>
                <w:spacing w:val="5"/>
                <w:kern w:val="28"/>
              </w:rPr>
            </w:pPr>
            <w:r w:rsidRPr="005E7484">
              <w:t xml:space="preserve">Develop </w:t>
            </w:r>
            <w:r w:rsidR="00492A6C" w:rsidRPr="005E7484">
              <w:t xml:space="preserve">a </w:t>
            </w:r>
            <w:r w:rsidRPr="005E7484">
              <w:t xml:space="preserve">cost-effective QA/QC plan to improve accuracy, transparency, consistency, comparability, </w:t>
            </w:r>
            <w:r w:rsidR="00492A6C" w:rsidRPr="005E7484">
              <w:t xml:space="preserve">and </w:t>
            </w:r>
            <w:r w:rsidRPr="00DC4D2D">
              <w:t>completeness,</w:t>
            </w:r>
            <w:r w:rsidR="00492A6C" w:rsidRPr="00DC4D2D">
              <w:t xml:space="preserve"> and establish the</w:t>
            </w:r>
            <w:r w:rsidRPr="00DC4D2D">
              <w:t xml:space="preserve"> roles and responsibilities </w:t>
            </w:r>
            <w:r w:rsidR="00492A6C" w:rsidRPr="00DC4D2D">
              <w:t xml:space="preserve">of the </w:t>
            </w:r>
            <w:r w:rsidRPr="00DC4D2D">
              <w:t xml:space="preserve">QA/QC </w:t>
            </w:r>
            <w:r w:rsidR="009245DA">
              <w:t>C</w:t>
            </w:r>
            <w:r w:rsidRPr="00DC4D2D">
              <w:t>oordinator in relation to</w:t>
            </w:r>
            <w:r w:rsidR="00492A6C" w:rsidRPr="00DC4D2D">
              <w:t xml:space="preserve"> the</w:t>
            </w:r>
            <w:r w:rsidRPr="008C2D10">
              <w:t xml:space="preserve"> NIC and sector leads</w:t>
            </w:r>
            <w:r w:rsidR="00492A6C" w:rsidRPr="008C2D10">
              <w:t>.</w:t>
            </w:r>
          </w:p>
        </w:tc>
      </w:tr>
      <w:tr w:rsidR="00A02E15" w:rsidRPr="00C2583B" w14:paraId="5D8BA798" w14:textId="77777777"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6324D4E" w14:textId="164A8A12" w:rsidR="00A02E15" w:rsidRPr="008C1A71" w:rsidRDefault="00A02E15" w:rsidP="00A02E15">
            <w:r w:rsidRPr="005E7484">
              <w:t>5. Key Category Analysis (KCA)</w:t>
            </w:r>
          </w:p>
        </w:tc>
        <w:tc>
          <w:tcPr>
            <w:tcW w:w="9270" w:type="dxa"/>
          </w:tcPr>
          <w:p w14:paraId="62CC9561" w14:textId="186E23B7" w:rsidR="00A02E15" w:rsidRPr="005E7484" w:rsidRDefault="00A02E15" w:rsidP="00A02E15">
            <w:pPr>
              <w:cnfStyle w:val="000000100000" w:firstRow="0" w:lastRow="0" w:firstColumn="0" w:lastColumn="0" w:oddVBand="0" w:evenVBand="0" w:oddHBand="1" w:evenHBand="0" w:firstRowFirstColumn="0" w:firstRowLastColumn="0" w:lastRowFirstColumn="0" w:lastRowLastColumn="0"/>
            </w:pPr>
            <w:r w:rsidRPr="005E7484">
              <w:t>Identify most significant emissions and sink categories to focus improvement efforts.</w:t>
            </w:r>
          </w:p>
        </w:tc>
      </w:tr>
      <w:tr w:rsidR="00A02E15" w:rsidRPr="00C2583B" w14:paraId="2873C2C0" w14:textId="098FA25A" w:rsidTr="009A2939">
        <w:tc>
          <w:tcPr>
            <w:cnfStyle w:val="001000000000" w:firstRow="0" w:lastRow="0" w:firstColumn="1" w:lastColumn="0" w:oddVBand="0" w:evenVBand="0" w:oddHBand="0" w:evenHBand="0" w:firstRowFirstColumn="0" w:firstRowLastColumn="0" w:lastRowFirstColumn="0" w:lastRowLastColumn="0"/>
            <w:tcW w:w="3775" w:type="dxa"/>
          </w:tcPr>
          <w:p w14:paraId="3AE3DBF3" w14:textId="04366BA4" w:rsidR="00A02E15" w:rsidRPr="008C1A71" w:rsidRDefault="00A02E15" w:rsidP="00A02E15">
            <w:pPr>
              <w:rPr>
                <w:rFonts w:eastAsiaTheme="majorEastAsia" w:cstheme="majorBidi"/>
                <w:color w:val="323E4F" w:themeColor="text2" w:themeShade="BF"/>
                <w:spacing w:val="5"/>
                <w:kern w:val="28"/>
              </w:rPr>
            </w:pPr>
            <w:r w:rsidRPr="005E7484">
              <w:t>6. Archiving System (AS)</w:t>
            </w:r>
          </w:p>
        </w:tc>
        <w:tc>
          <w:tcPr>
            <w:tcW w:w="9270" w:type="dxa"/>
          </w:tcPr>
          <w:p w14:paraId="5279DF2E" w14:textId="077D62B9" w:rsidR="00A02E15" w:rsidRPr="005E7484" w:rsidRDefault="00A02E15" w:rsidP="00A02E15">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323E4F" w:themeColor="text2" w:themeShade="BF"/>
                <w:spacing w:val="5"/>
                <w:kern w:val="28"/>
              </w:rPr>
            </w:pPr>
            <w:r w:rsidRPr="005E7484">
              <w:t>Develop an archiving plan to facilitate preparation of subsequent inventories, providing clear roles to</w:t>
            </w:r>
            <w:r w:rsidR="00245C67">
              <w:t xml:space="preserve"> the </w:t>
            </w:r>
            <w:r w:rsidRPr="005E7484">
              <w:t>NIC and sector leads and safeguard against data and information loss.</w:t>
            </w:r>
          </w:p>
        </w:tc>
      </w:tr>
      <w:tr w:rsidR="00A02E15" w:rsidRPr="00C2583B" w14:paraId="53E56396" w14:textId="404DD4B6"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1C363BD6" w14:textId="11EFDD3B" w:rsidR="00A02E15" w:rsidRPr="008C1A71" w:rsidRDefault="00A02E15" w:rsidP="00A02E15">
            <w:pPr>
              <w:rPr>
                <w:rFonts w:eastAsiaTheme="majorEastAsia" w:cstheme="majorBidi"/>
                <w:color w:val="323E4F" w:themeColor="text2" w:themeShade="BF"/>
                <w:spacing w:val="5"/>
                <w:kern w:val="28"/>
              </w:rPr>
            </w:pPr>
            <w:r w:rsidRPr="005E7484">
              <w:t>7. National Inventory Improvement Plan (NIIP)</w:t>
            </w:r>
          </w:p>
        </w:tc>
        <w:tc>
          <w:tcPr>
            <w:tcW w:w="9270" w:type="dxa"/>
          </w:tcPr>
          <w:p w14:paraId="67A22EAC" w14:textId="1F01C6F3" w:rsidR="00A02E15" w:rsidRPr="00DB1122" w:rsidRDefault="00A02E15" w:rsidP="00A02E15">
            <w:pPr>
              <w:cnfStyle w:val="000000100000" w:firstRow="0" w:lastRow="0" w:firstColumn="0" w:lastColumn="0" w:oddVBand="0" w:evenVBand="0" w:oddHBand="1" w:evenHBand="0" w:firstRowFirstColumn="0" w:firstRowLastColumn="0" w:lastRowFirstColumn="0" w:lastRowLastColumn="0"/>
              <w:rPr>
                <w:rFonts w:eastAsiaTheme="majorEastAsia" w:cstheme="majorBidi"/>
                <w:color w:val="323E4F" w:themeColor="text2" w:themeShade="BF"/>
                <w:spacing w:val="5"/>
                <w:kern w:val="28"/>
              </w:rPr>
            </w:pPr>
            <w:r w:rsidRPr="008C1A71">
              <w:t>Develop a National Inventory Improvement Plan that identifies the steps or projects the country should prioritize to improve the transparency, consistency, comparability, completeness, and accuracy of future inventories.</w:t>
            </w:r>
          </w:p>
        </w:tc>
      </w:tr>
      <w:tr w:rsidR="009245DA" w:rsidRPr="00C2583B" w14:paraId="6119BDA6" w14:textId="77777777" w:rsidTr="009A2939">
        <w:tc>
          <w:tcPr>
            <w:cnfStyle w:val="001000000000" w:firstRow="0" w:lastRow="0" w:firstColumn="1" w:lastColumn="0" w:oddVBand="0" w:evenVBand="0" w:oddHBand="0" w:evenHBand="0" w:firstRowFirstColumn="0" w:firstRowLastColumn="0" w:lastRowFirstColumn="0" w:lastRowLastColumn="0"/>
            <w:tcW w:w="3775" w:type="dxa"/>
            <w:shd w:val="clear" w:color="auto" w:fill="4472C4" w:themeFill="accent1"/>
            <w:vAlign w:val="bottom"/>
          </w:tcPr>
          <w:p w14:paraId="4236B775" w14:textId="0A6B4358" w:rsidR="009245DA" w:rsidRPr="009A2939" w:rsidRDefault="009245DA" w:rsidP="009A2939">
            <w:pPr>
              <w:jc w:val="center"/>
              <w:rPr>
                <w:color w:val="FFFFFF" w:themeColor="background1"/>
              </w:rPr>
            </w:pPr>
            <w:r w:rsidRPr="009A2939">
              <w:rPr>
                <w:rFonts w:eastAsiaTheme="majorEastAsia" w:cstheme="majorBidi"/>
                <w:color w:val="FFFFFF" w:themeColor="background1"/>
                <w:spacing w:val="5"/>
                <w:kern w:val="28"/>
              </w:rPr>
              <w:t>Supporting Templates</w:t>
            </w:r>
          </w:p>
        </w:tc>
        <w:tc>
          <w:tcPr>
            <w:tcW w:w="9270" w:type="dxa"/>
            <w:shd w:val="clear" w:color="auto" w:fill="4472C4" w:themeFill="accent1"/>
            <w:vAlign w:val="bottom"/>
          </w:tcPr>
          <w:p w14:paraId="4828D254" w14:textId="29CC8E87" w:rsidR="009245DA" w:rsidRPr="009A2939" w:rsidDel="00E73EF5" w:rsidRDefault="009245DA" w:rsidP="009A2939">
            <w:pPr>
              <w:jc w:val="center"/>
              <w:cnfStyle w:val="000000000000" w:firstRow="0" w:lastRow="0" w:firstColumn="0" w:lastColumn="0" w:oddVBand="0" w:evenVBand="0" w:oddHBand="0" w:evenHBand="0" w:firstRowFirstColumn="0" w:firstRowLastColumn="0" w:lastRowFirstColumn="0" w:lastRowLastColumn="0"/>
              <w:rPr>
                <w:b/>
                <w:bCs/>
              </w:rPr>
            </w:pPr>
            <w:r w:rsidRPr="009A2939">
              <w:rPr>
                <w:rFonts w:eastAsiaTheme="majorEastAsia" w:cstheme="majorBidi"/>
                <w:b/>
                <w:bCs/>
                <w:color w:val="FFFFFF" w:themeColor="background1"/>
                <w:spacing w:val="5"/>
                <w:kern w:val="28"/>
              </w:rPr>
              <w:t>Purpose</w:t>
            </w:r>
          </w:p>
        </w:tc>
      </w:tr>
      <w:tr w:rsidR="009245DA" w:rsidRPr="00C2583B" w14:paraId="1883022A" w14:textId="77777777"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EF03FE7" w14:textId="7A589C87" w:rsidR="009245DA" w:rsidRPr="005E7484" w:rsidRDefault="009245DA" w:rsidP="009245DA">
            <w:r w:rsidRPr="008C1A71">
              <w:t>National GHG Inventory Inception Memorandum</w:t>
            </w:r>
          </w:p>
        </w:tc>
        <w:tc>
          <w:tcPr>
            <w:tcW w:w="9270" w:type="dxa"/>
          </w:tcPr>
          <w:p w14:paraId="5F2AC7EB" w14:textId="7040FE83" w:rsidR="009245DA" w:rsidRPr="00DC4D2D" w:rsidRDefault="009245DA" w:rsidP="009245DA">
            <w:pPr>
              <w:spacing w:after="120"/>
              <w:cnfStyle w:val="000000100000" w:firstRow="0" w:lastRow="0" w:firstColumn="0" w:lastColumn="0" w:oddVBand="0" w:evenVBand="0" w:oddHBand="1" w:evenHBand="0" w:firstRowFirstColumn="0" w:firstRowLastColumn="0" w:lastRowFirstColumn="0" w:lastRowLastColumn="0"/>
            </w:pPr>
            <w:r>
              <w:t>A</w:t>
            </w:r>
            <w:r w:rsidRPr="005E7484">
              <w:t xml:space="preserve">ssist the NIC with providing guidance to a country’s inventory compilers </w:t>
            </w:r>
            <w:r>
              <w:t>(</w:t>
            </w:r>
            <w:r w:rsidRPr="005E7484">
              <w:t>i.e., staff responsible for preparing emissions or removals estimates and associated text for the sectors included in the national GHG inventory</w:t>
            </w:r>
            <w:r>
              <w:t>)</w:t>
            </w:r>
            <w:r w:rsidRPr="005E7484">
              <w:t>. The NIC may complete this template to outline the goals, expectations, and roles and responsibilities of team members during the inventory development cycle, based on existing institutional arrangements and national circumstances. It also includes a draft national GHG inventory work plan that the NIC may customize.</w:t>
            </w:r>
          </w:p>
          <w:p w14:paraId="61D08B75" w14:textId="6E67E944" w:rsidR="009245DA" w:rsidRPr="00DC4D2D" w:rsidRDefault="009245DA" w:rsidP="009245DA">
            <w:pPr>
              <w:cnfStyle w:val="000000100000" w:firstRow="0" w:lastRow="0" w:firstColumn="0" w:lastColumn="0" w:oddVBand="0" w:evenVBand="0" w:oddHBand="1" w:evenHBand="0" w:firstRowFirstColumn="0" w:firstRowLastColumn="0" w:lastRowFirstColumn="0" w:lastRowLastColumn="0"/>
              <w:rPr>
                <w:rFonts w:eastAsiaTheme="majorEastAsia" w:cstheme="majorBidi"/>
                <w:i/>
                <w:color w:val="323E4F" w:themeColor="text2" w:themeShade="BF"/>
                <w:spacing w:val="5"/>
                <w:kern w:val="28"/>
              </w:rPr>
            </w:pPr>
            <w:r w:rsidRPr="00DC4D2D">
              <w:rPr>
                <w:i/>
              </w:rPr>
              <w:t xml:space="preserve">This supplements the </w:t>
            </w:r>
            <w:r w:rsidR="00F13AEC">
              <w:rPr>
                <w:i/>
              </w:rPr>
              <w:t>HUT</w:t>
            </w:r>
            <w:r w:rsidRPr="00DC4D2D">
              <w:rPr>
                <w:i/>
              </w:rPr>
              <w:t xml:space="preserve">, IA, MDD, QA/QC, and </w:t>
            </w:r>
            <w:r>
              <w:rPr>
                <w:i/>
              </w:rPr>
              <w:t>AS</w:t>
            </w:r>
            <w:r w:rsidRPr="00DC4D2D">
              <w:rPr>
                <w:i/>
              </w:rPr>
              <w:t xml:space="preserve"> templates </w:t>
            </w:r>
            <w:r>
              <w:rPr>
                <w:i/>
              </w:rPr>
              <w:t xml:space="preserve">listed </w:t>
            </w:r>
            <w:r w:rsidRPr="00DC4D2D">
              <w:rPr>
                <w:i/>
              </w:rPr>
              <w:t>above.</w:t>
            </w:r>
          </w:p>
        </w:tc>
      </w:tr>
      <w:tr w:rsidR="009245DA" w:rsidRPr="00C2583B" w14:paraId="7B101662" w14:textId="77777777" w:rsidTr="009A2939">
        <w:tc>
          <w:tcPr>
            <w:cnfStyle w:val="001000000000" w:firstRow="0" w:lastRow="0" w:firstColumn="1" w:lastColumn="0" w:oddVBand="0" w:evenVBand="0" w:oddHBand="0" w:evenHBand="0" w:firstRowFirstColumn="0" w:firstRowLastColumn="0" w:lastRowFirstColumn="0" w:lastRowLastColumn="0"/>
            <w:tcW w:w="3775" w:type="dxa"/>
          </w:tcPr>
          <w:p w14:paraId="10E19B35" w14:textId="46D776D8" w:rsidR="009245DA" w:rsidRPr="005E7484" w:rsidRDefault="009245DA" w:rsidP="009245DA">
            <w:r w:rsidRPr="008C1A71">
              <w:t>Memorandum of Cooperation</w:t>
            </w:r>
            <w:r>
              <w:t xml:space="preserve"> (MoC)</w:t>
            </w:r>
          </w:p>
        </w:tc>
        <w:tc>
          <w:tcPr>
            <w:tcW w:w="9270" w:type="dxa"/>
          </w:tcPr>
          <w:p w14:paraId="47A9C291" w14:textId="77777777" w:rsidR="009245DA" w:rsidRPr="005E7484" w:rsidRDefault="009245DA" w:rsidP="009245DA">
            <w:pPr>
              <w:spacing w:after="120"/>
              <w:cnfStyle w:val="000000000000" w:firstRow="0" w:lastRow="0" w:firstColumn="0" w:lastColumn="0" w:oddVBand="0" w:evenVBand="0" w:oddHBand="0" w:evenHBand="0" w:firstRowFirstColumn="0" w:firstRowLastColumn="0" w:lastRowFirstColumn="0" w:lastRowLastColumn="0"/>
            </w:pPr>
            <w:r w:rsidRPr="005E7484">
              <w:t>To establish an agreement between two organizations, typically a data provider to the National GHG Inventory and the organization developing the Inventory.</w:t>
            </w:r>
          </w:p>
          <w:p w14:paraId="3A0C0B08" w14:textId="236CCECA" w:rsidR="009245DA" w:rsidRPr="00DC4D2D" w:rsidRDefault="009245DA" w:rsidP="009245DA">
            <w:pPr>
              <w:cnfStyle w:val="000000000000" w:firstRow="0" w:lastRow="0" w:firstColumn="0" w:lastColumn="0" w:oddVBand="0" w:evenVBand="0" w:oddHBand="0" w:evenHBand="0" w:firstRowFirstColumn="0" w:firstRowLastColumn="0" w:lastRowFirstColumn="0" w:lastRowLastColumn="0"/>
              <w:rPr>
                <w:rFonts w:eastAsiaTheme="majorEastAsia" w:cstheme="majorBidi"/>
                <w:i/>
                <w:color w:val="323E4F" w:themeColor="text2" w:themeShade="BF"/>
                <w:spacing w:val="5"/>
                <w:kern w:val="28"/>
              </w:rPr>
            </w:pPr>
            <w:r w:rsidRPr="00DC4D2D">
              <w:rPr>
                <w:i/>
              </w:rPr>
              <w:t>This supplements the IA and MDD templates above.</w:t>
            </w:r>
          </w:p>
        </w:tc>
      </w:tr>
      <w:tr w:rsidR="009245DA" w:rsidRPr="00C2583B" w14:paraId="3767F549" w14:textId="77777777" w:rsidTr="009A29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D6C2B20" w14:textId="4080848A" w:rsidR="009245DA" w:rsidRPr="005E7484" w:rsidRDefault="009245DA" w:rsidP="009245DA">
            <w:r w:rsidRPr="008C1A71">
              <w:lastRenderedPageBreak/>
              <w:t>Scope of Work</w:t>
            </w:r>
          </w:p>
        </w:tc>
        <w:tc>
          <w:tcPr>
            <w:tcW w:w="9270" w:type="dxa"/>
          </w:tcPr>
          <w:p w14:paraId="67B1652E" w14:textId="77777777" w:rsidR="009245DA" w:rsidRPr="00DC4D2D" w:rsidRDefault="009245DA" w:rsidP="009245DA">
            <w:pPr>
              <w:spacing w:after="120"/>
              <w:cnfStyle w:val="000000100000" w:firstRow="0" w:lastRow="0" w:firstColumn="0" w:lastColumn="0" w:oddVBand="0" w:evenVBand="0" w:oddHBand="1" w:evenHBand="0" w:firstRowFirstColumn="0" w:firstRowLastColumn="0" w:lastRowFirstColumn="0" w:lastRowLastColumn="0"/>
            </w:pPr>
            <w:r w:rsidRPr="005E7484">
              <w:t>To assist with drafting a Scope of Work or Terms of Reference that the lead GHG inventory entity may use as the basis of a request for proposals to hire a consultant to develop emission or removal estimates for the national GHG inventory. Within it, the entity may define the goals, expectations, roles and responsibilities, work plan, and anticipated cost of consultants for the inventory.</w:t>
            </w:r>
          </w:p>
          <w:p w14:paraId="79BF352D" w14:textId="262CAB47" w:rsidR="009245DA" w:rsidRPr="00DC4D2D" w:rsidRDefault="009245DA" w:rsidP="009245DA">
            <w:pPr>
              <w:cnfStyle w:val="000000100000" w:firstRow="0" w:lastRow="0" w:firstColumn="0" w:lastColumn="0" w:oddVBand="0" w:evenVBand="0" w:oddHBand="1" w:evenHBand="0" w:firstRowFirstColumn="0" w:firstRowLastColumn="0" w:lastRowFirstColumn="0" w:lastRowLastColumn="0"/>
              <w:rPr>
                <w:rFonts w:eastAsiaTheme="majorEastAsia" w:cstheme="majorBidi"/>
                <w:color w:val="323E4F" w:themeColor="text2" w:themeShade="BF"/>
                <w:spacing w:val="5"/>
                <w:kern w:val="28"/>
              </w:rPr>
            </w:pPr>
            <w:r w:rsidRPr="00DC4D2D">
              <w:rPr>
                <w:i/>
              </w:rPr>
              <w:t>This supplements the IA template above.</w:t>
            </w:r>
          </w:p>
        </w:tc>
      </w:tr>
      <w:tr w:rsidR="009245DA" w:rsidRPr="00C2583B" w14:paraId="55ACF718" w14:textId="77777777" w:rsidTr="009A2939">
        <w:tc>
          <w:tcPr>
            <w:cnfStyle w:val="001000000000" w:firstRow="0" w:lastRow="0" w:firstColumn="1" w:lastColumn="0" w:oddVBand="0" w:evenVBand="0" w:oddHBand="0" w:evenHBand="0" w:firstRowFirstColumn="0" w:firstRowLastColumn="0" w:lastRowFirstColumn="0" w:lastRowLastColumn="0"/>
            <w:tcW w:w="3775" w:type="dxa"/>
          </w:tcPr>
          <w:p w14:paraId="00C8495C" w14:textId="01D34CAD" w:rsidR="009245DA" w:rsidRPr="005E7484" w:rsidRDefault="009245DA" w:rsidP="009245DA">
            <w:r w:rsidRPr="008C1A71">
              <w:t>Confidentiality Agreement</w:t>
            </w:r>
          </w:p>
        </w:tc>
        <w:tc>
          <w:tcPr>
            <w:tcW w:w="9270" w:type="dxa"/>
          </w:tcPr>
          <w:p w14:paraId="4B791448" w14:textId="77777777" w:rsidR="009245DA" w:rsidRPr="005E7484" w:rsidRDefault="009245DA" w:rsidP="009245DA">
            <w:pPr>
              <w:spacing w:after="120"/>
              <w:cnfStyle w:val="000000000000" w:firstRow="0" w:lastRow="0" w:firstColumn="0" w:lastColumn="0" w:oddVBand="0" w:evenVBand="0" w:oddHBand="0" w:evenHBand="0" w:firstRowFirstColumn="0" w:firstRowLastColumn="0" w:lastRowFirstColumn="0" w:lastRowLastColumn="0"/>
            </w:pPr>
            <w:r w:rsidRPr="005E7484">
              <w:t>To establish an agreement between a data provider that is supplying confidential information for the development of national GHG inventory emission or removal estimates.</w:t>
            </w:r>
          </w:p>
          <w:p w14:paraId="1EB30AAB" w14:textId="54D20336" w:rsidR="009245DA" w:rsidRPr="005E7484" w:rsidRDefault="009245DA" w:rsidP="009245DA">
            <w:pPr>
              <w:cnfStyle w:val="000000000000" w:firstRow="0" w:lastRow="0" w:firstColumn="0" w:lastColumn="0" w:oddVBand="0" w:evenVBand="0" w:oddHBand="0" w:evenHBand="0" w:firstRowFirstColumn="0" w:firstRowLastColumn="0" w:lastRowFirstColumn="0" w:lastRowLastColumn="0"/>
              <w:rPr>
                <w:rFonts w:eastAsiaTheme="majorEastAsia" w:cstheme="majorBidi"/>
                <w:color w:val="323E4F" w:themeColor="text2" w:themeShade="BF"/>
                <w:spacing w:val="5"/>
                <w:kern w:val="28"/>
              </w:rPr>
            </w:pPr>
            <w:r w:rsidRPr="005E7484">
              <w:rPr>
                <w:i/>
              </w:rPr>
              <w:t>This supplements the MDD template above.</w:t>
            </w:r>
          </w:p>
        </w:tc>
      </w:tr>
    </w:tbl>
    <w:p w14:paraId="6F1A62F4" w14:textId="77777777" w:rsidR="008C1A56" w:rsidRDefault="008C1A56" w:rsidP="00A62535">
      <w:pPr>
        <w:spacing w:after="0" w:line="240" w:lineRule="auto"/>
      </w:pPr>
    </w:p>
    <w:p w14:paraId="51EAD60C" w14:textId="1DE8D6E3" w:rsidR="000B7F8E" w:rsidRPr="00E423AF" w:rsidRDefault="0023072C" w:rsidP="00A62535">
      <w:pPr>
        <w:pStyle w:val="Heading3"/>
      </w:pPr>
      <w:r>
        <w:t>H</w:t>
      </w:r>
      <w:r w:rsidR="001A2CAD" w:rsidRPr="00E423AF">
        <w:t xml:space="preserve">ow </w:t>
      </w:r>
      <w:r w:rsidR="00FA6273">
        <w:t xml:space="preserve">the </w:t>
      </w:r>
      <w:r w:rsidR="001A2CAD" w:rsidRPr="00E423AF">
        <w:t>templates</w:t>
      </w:r>
      <w:r>
        <w:t xml:space="preserve"> can</w:t>
      </w:r>
      <w:r w:rsidR="001A2CAD" w:rsidRPr="00E423AF">
        <w:t xml:space="preserve"> help</w:t>
      </w:r>
      <w:r>
        <w:t xml:space="preserve"> you</w:t>
      </w:r>
      <w:r w:rsidR="002B0C0A" w:rsidRPr="00E423AF">
        <w:t xml:space="preserve"> </w:t>
      </w:r>
      <w:r w:rsidR="001A2CAD" w:rsidRPr="00E423AF">
        <w:t>improve your inventory and build your inventory system</w:t>
      </w:r>
      <w:r w:rsidR="000B7F8E" w:rsidRPr="00E423AF">
        <w:t xml:space="preserve"> </w:t>
      </w:r>
    </w:p>
    <w:p w14:paraId="1140AA46" w14:textId="3FB75A42" w:rsidR="00E34228" w:rsidRPr="00200D83" w:rsidRDefault="00E34228" w:rsidP="00E34228">
      <w:r>
        <w:t xml:space="preserve">By </w:t>
      </w:r>
      <w:r w:rsidR="00492A6C">
        <w:t>customizing or completing</w:t>
      </w:r>
      <w:r>
        <w:t xml:space="preserve"> the </w:t>
      </w:r>
      <w:r w:rsidR="00A36FCA">
        <w:t>tables in t</w:t>
      </w:r>
      <w:r w:rsidR="00A36FCA" w:rsidRPr="00200D83">
        <w:t>he templates</w:t>
      </w:r>
      <w:r w:rsidRPr="00200D83">
        <w:t xml:space="preserve"> and adding any relevant supporting information</w:t>
      </w:r>
      <w:r w:rsidR="00824DA1">
        <w:t>,</w:t>
      </w:r>
      <w:r w:rsidR="00CE140E">
        <w:t xml:space="preserve"> as show</w:t>
      </w:r>
      <w:r w:rsidR="00824DA1">
        <w:t>n</w:t>
      </w:r>
      <w:r w:rsidR="00CE140E">
        <w:t xml:space="preserve"> in Figure </w:t>
      </w:r>
      <w:r w:rsidR="00824DA1">
        <w:t xml:space="preserve">2 </w:t>
      </w:r>
      <w:r w:rsidR="00CE140E">
        <w:t>below</w:t>
      </w:r>
      <w:r w:rsidRPr="00200D83">
        <w:t>, you will be</w:t>
      </w:r>
      <w:r w:rsidR="0006083A">
        <w:t xml:space="preserve"> creating several useful resources for </w:t>
      </w:r>
      <w:r w:rsidR="00E73EF5">
        <w:t xml:space="preserve">your </w:t>
      </w:r>
      <w:r w:rsidR="0006083A">
        <w:t>current and future national GHG inventory teams to use. Specifically, you will be</w:t>
      </w:r>
      <w:r w:rsidRPr="00200D83">
        <w:t>:</w:t>
      </w:r>
    </w:p>
    <w:p w14:paraId="78D0F440" w14:textId="63A1BB3C" w:rsidR="00E34228" w:rsidRPr="00B354A2" w:rsidRDefault="00E34228" w:rsidP="00E34228">
      <w:pPr>
        <w:numPr>
          <w:ilvl w:val="0"/>
          <w:numId w:val="6"/>
        </w:numPr>
        <w:spacing w:before="120" w:after="120" w:line="240" w:lineRule="auto"/>
      </w:pPr>
      <w:r w:rsidRPr="00B354A2">
        <w:t xml:space="preserve">Compiling and organizing information </w:t>
      </w:r>
      <w:r w:rsidR="00CB1E22">
        <w:t>(i.e.</w:t>
      </w:r>
      <w:r w:rsidR="00824DA1">
        <w:t>,</w:t>
      </w:r>
      <w:r w:rsidR="00CB1E22">
        <w:t xml:space="preserve"> preparing plans and procedures) </w:t>
      </w:r>
      <w:r w:rsidRPr="00B354A2">
        <w:t xml:space="preserve">that is essential </w:t>
      </w:r>
      <w:r w:rsidR="00CB1E22">
        <w:t xml:space="preserve">and specific </w:t>
      </w:r>
      <w:r w:rsidRPr="00B354A2">
        <w:t xml:space="preserve">to </w:t>
      </w:r>
      <w:r w:rsidR="00932C07">
        <w:t xml:space="preserve">developing your national GHG inventory system and </w:t>
      </w:r>
      <w:r w:rsidRPr="00B354A2">
        <w:t>preparing your country’s national</w:t>
      </w:r>
      <w:r w:rsidR="00932C07">
        <w:t xml:space="preserve"> GHG</w:t>
      </w:r>
      <w:r w:rsidRPr="00B354A2">
        <w:t xml:space="preserve"> inventory reports</w:t>
      </w:r>
      <w:r w:rsidR="00932C07">
        <w:t>,</w:t>
      </w:r>
      <w:r w:rsidRPr="00B354A2">
        <w:t xml:space="preserve"> </w:t>
      </w:r>
      <w:r w:rsidR="00932C07">
        <w:t>and</w:t>
      </w:r>
      <w:r w:rsidR="00932C07" w:rsidRPr="00B354A2">
        <w:t xml:space="preserve"> </w:t>
      </w:r>
      <w:r w:rsidRPr="00B354A2">
        <w:t>ensur</w:t>
      </w:r>
      <w:r w:rsidR="00932C07">
        <w:t>ing they are</w:t>
      </w:r>
      <w:r w:rsidRPr="00B354A2">
        <w:t xml:space="preserve"> transparen</w:t>
      </w:r>
      <w:r w:rsidR="00932C07">
        <w:t>t</w:t>
      </w:r>
      <w:r w:rsidRPr="00B354A2">
        <w:t>;</w:t>
      </w:r>
    </w:p>
    <w:p w14:paraId="03373DA1" w14:textId="5B264004" w:rsidR="00E34228" w:rsidRPr="00200D83" w:rsidRDefault="00C94478" w:rsidP="00E34228">
      <w:pPr>
        <w:numPr>
          <w:ilvl w:val="0"/>
          <w:numId w:val="6"/>
        </w:numPr>
        <w:spacing w:before="120" w:after="120" w:line="240" w:lineRule="auto"/>
      </w:pPr>
      <w:r>
        <w:t>Clearly and efficiently o</w:t>
      </w:r>
      <w:r w:rsidR="00E34228" w:rsidRPr="00B354A2">
        <w:t>utlining inventory tasks</w:t>
      </w:r>
      <w:r w:rsidR="00E34228" w:rsidRPr="00200D83">
        <w:t>;</w:t>
      </w:r>
    </w:p>
    <w:p w14:paraId="7943FF0F" w14:textId="5AE2F268" w:rsidR="00E34228" w:rsidRPr="007102B6" w:rsidRDefault="00E34228" w:rsidP="00E34228">
      <w:pPr>
        <w:numPr>
          <w:ilvl w:val="0"/>
          <w:numId w:val="6"/>
        </w:numPr>
        <w:spacing w:before="120" w:after="120" w:line="240" w:lineRule="auto"/>
      </w:pPr>
      <w:r w:rsidRPr="007102B6">
        <w:t>Ensur</w:t>
      </w:r>
      <w:r>
        <w:t xml:space="preserve">ing that </w:t>
      </w:r>
      <w:r w:rsidR="00492A6C">
        <w:t xml:space="preserve">individuals and institutions </w:t>
      </w:r>
      <w:r>
        <w:t xml:space="preserve">involved in your inventory know what </w:t>
      </w:r>
      <w:r w:rsidR="00492A6C">
        <w:t>their</w:t>
      </w:r>
      <w:r>
        <w:t xml:space="preserve"> </w:t>
      </w:r>
      <w:r w:rsidRPr="007102B6">
        <w:t>roles and responsibilities</w:t>
      </w:r>
      <w:r>
        <w:t xml:space="preserve"> are;</w:t>
      </w:r>
    </w:p>
    <w:p w14:paraId="409CDDC9" w14:textId="77777777" w:rsidR="00E34228" w:rsidRPr="007102B6" w:rsidRDefault="00E34228" w:rsidP="00E34228">
      <w:pPr>
        <w:numPr>
          <w:ilvl w:val="0"/>
          <w:numId w:val="6"/>
        </w:numPr>
        <w:spacing w:before="120" w:after="120" w:line="240" w:lineRule="auto"/>
      </w:pPr>
      <w:r>
        <w:t>I</w:t>
      </w:r>
      <w:r w:rsidRPr="007102B6">
        <w:t>dentify</w:t>
      </w:r>
      <w:r>
        <w:t>ing</w:t>
      </w:r>
      <w:r w:rsidRPr="007102B6">
        <w:t xml:space="preserve"> priorities for future</w:t>
      </w:r>
      <w:r>
        <w:t xml:space="preserve"> inventory</w:t>
      </w:r>
      <w:r w:rsidRPr="007102B6">
        <w:t xml:space="preserve"> improvements; </w:t>
      </w:r>
    </w:p>
    <w:p w14:paraId="5CF531D3" w14:textId="2045E33E" w:rsidR="00E34228" w:rsidRDefault="00E34228" w:rsidP="00E34228">
      <w:pPr>
        <w:numPr>
          <w:ilvl w:val="0"/>
          <w:numId w:val="6"/>
        </w:numPr>
        <w:spacing w:before="120" w:after="120" w:line="240" w:lineRule="auto"/>
      </w:pPr>
      <w:r>
        <w:t xml:space="preserve">Providing future inventory teams with an </w:t>
      </w:r>
      <w:r w:rsidRPr="007102B6">
        <w:t xml:space="preserve">instruction manual </w:t>
      </w:r>
      <w:r>
        <w:t xml:space="preserve">for </w:t>
      </w:r>
      <w:r w:rsidR="00E73EF5">
        <w:t xml:space="preserve">your country’s </w:t>
      </w:r>
      <w:r>
        <w:t>inventories</w:t>
      </w:r>
      <w:r w:rsidRPr="007102B6">
        <w:t xml:space="preserve">; </w:t>
      </w:r>
    </w:p>
    <w:p w14:paraId="45854245" w14:textId="1C819E0B" w:rsidR="00E34228" w:rsidRPr="007102B6" w:rsidRDefault="00E34228" w:rsidP="00D81374">
      <w:pPr>
        <w:numPr>
          <w:ilvl w:val="0"/>
          <w:numId w:val="6"/>
        </w:numPr>
        <w:spacing w:before="120" w:after="120" w:line="240" w:lineRule="auto"/>
      </w:pPr>
      <w:r>
        <w:t xml:space="preserve">Applying IPCC </w:t>
      </w:r>
      <w:r w:rsidR="00200D83">
        <w:t>good practices</w:t>
      </w:r>
      <w:r>
        <w:t xml:space="preserve"> and other UN guidance documents for preparing national inventories</w:t>
      </w:r>
      <w:r w:rsidR="00D81374" w:rsidRPr="00D81374">
        <w:t xml:space="preserve"> </w:t>
      </w:r>
      <w:r w:rsidR="00D81374">
        <w:t>(</w:t>
      </w:r>
      <w:r w:rsidR="00BC3A71">
        <w:t>e.g.</w:t>
      </w:r>
      <w:r w:rsidR="00D81374" w:rsidRPr="00D81374">
        <w:t xml:space="preserve">, these templates refer </w:t>
      </w:r>
      <w:r w:rsidR="00BC3A71">
        <w:t xml:space="preserve">in places </w:t>
      </w:r>
      <w:r w:rsidR="00D81374" w:rsidRPr="00D81374">
        <w:t>to the methodological details in the 2006 IPCC Guidelines</w:t>
      </w:r>
      <w:r w:rsidR="00D81374">
        <w:t>)</w:t>
      </w:r>
      <w:r w:rsidR="00C2583B">
        <w:t>.</w:t>
      </w:r>
    </w:p>
    <w:p w14:paraId="67EE6FD4" w14:textId="67E1AA82" w:rsidR="00D81374" w:rsidRDefault="00D81374" w:rsidP="00D81374">
      <w:r>
        <w:t>At times, you may find it useful to keep the templates assembled in groups because of how they build upon or relate to each other, or you may use them independently of one another</w:t>
      </w:r>
      <w:r w:rsidRPr="00E82D42">
        <w:t>.</w:t>
      </w:r>
      <w:r w:rsidRPr="003C2AA2">
        <w:t xml:space="preserve"> </w:t>
      </w:r>
      <w:r>
        <w:t xml:space="preserve">You may also </w:t>
      </w:r>
      <w:r w:rsidRPr="00D81374">
        <w:t>copy and paste them into your own documents</w:t>
      </w:r>
      <w:r>
        <w:t xml:space="preserve"> as needed</w:t>
      </w:r>
      <w:r w:rsidRPr="00D81374">
        <w:t>.</w:t>
      </w:r>
      <w:r>
        <w:t xml:space="preserve"> To s</w:t>
      </w:r>
      <w:r w:rsidRPr="003C2AA2">
        <w:t>tore the templates</w:t>
      </w:r>
      <w:r>
        <w:t>, consider archiving them</w:t>
      </w:r>
      <w:r w:rsidRPr="003C2AA2">
        <w:t xml:space="preserve"> with other </w:t>
      </w:r>
      <w:r>
        <w:t xml:space="preserve">materials </w:t>
      </w:r>
      <w:r w:rsidRPr="003C2AA2">
        <w:t xml:space="preserve">relevant to </w:t>
      </w:r>
      <w:r>
        <w:t>your</w:t>
      </w:r>
      <w:r w:rsidRPr="003C2AA2">
        <w:t xml:space="preserve"> inventory</w:t>
      </w:r>
      <w:r>
        <w:t>, and</w:t>
      </w:r>
      <w:r w:rsidRPr="003C2AA2">
        <w:t xml:space="preserve"> </w:t>
      </w:r>
      <w:r>
        <w:t>backing up these files regularly to prevent loss</w:t>
      </w:r>
      <w:r w:rsidRPr="003C2AA2">
        <w:t>.</w:t>
      </w:r>
    </w:p>
    <w:p w14:paraId="70EC410A" w14:textId="3398C0F9" w:rsidR="00824DA1" w:rsidRPr="00824DA1" w:rsidRDefault="00824DA1" w:rsidP="00824DA1">
      <w:pPr>
        <w:pStyle w:val="Caption"/>
        <w:rPr>
          <w:rFonts w:asciiTheme="minorHAnsi" w:hAnsiTheme="minorHAnsi"/>
          <w:sz w:val="24"/>
          <w:szCs w:val="24"/>
        </w:rPr>
      </w:pPr>
      <w:r w:rsidRPr="00824DA1">
        <w:rPr>
          <w:rFonts w:asciiTheme="minorHAnsi" w:hAnsiTheme="minorHAnsi"/>
          <w:sz w:val="24"/>
          <w:szCs w:val="24"/>
        </w:rPr>
        <w:t>Figure 2.</w:t>
      </w:r>
      <w:r>
        <w:rPr>
          <w:rFonts w:asciiTheme="minorHAnsi" w:hAnsiTheme="minorHAnsi"/>
          <w:sz w:val="24"/>
          <w:szCs w:val="24"/>
        </w:rPr>
        <w:t xml:space="preserve"> Progressing from the </w:t>
      </w:r>
      <w:r w:rsidR="00245C67">
        <w:rPr>
          <w:rFonts w:asciiTheme="minorHAnsi" w:hAnsiTheme="minorHAnsi"/>
          <w:sz w:val="24"/>
          <w:szCs w:val="24"/>
        </w:rPr>
        <w:t>T</w:t>
      </w:r>
      <w:r>
        <w:rPr>
          <w:rFonts w:asciiTheme="minorHAnsi" w:hAnsiTheme="minorHAnsi"/>
          <w:sz w:val="24"/>
          <w:szCs w:val="24"/>
        </w:rPr>
        <w:t>emplates to the National GHG Inventory System Manual</w:t>
      </w:r>
    </w:p>
    <w:p w14:paraId="41A94278" w14:textId="76451889" w:rsidR="005D018F" w:rsidRDefault="008A485D" w:rsidP="005D018F">
      <w:r>
        <w:rPr>
          <w:noProof/>
        </w:rPr>
        <mc:AlternateContent>
          <mc:Choice Requires="wps">
            <w:drawing>
              <wp:anchor distT="0" distB="0" distL="114300" distR="114300" simplePos="0" relativeHeight="251658243" behindDoc="0" locked="0" layoutInCell="1" allowOverlap="1" wp14:anchorId="1B8EA6C1" wp14:editId="7E00E2B8">
                <wp:simplePos x="0" y="0"/>
                <wp:positionH relativeFrom="column">
                  <wp:posOffset>1628775</wp:posOffset>
                </wp:positionH>
                <wp:positionV relativeFrom="paragraph">
                  <wp:posOffset>213995</wp:posOffset>
                </wp:positionV>
                <wp:extent cx="1114425" cy="790575"/>
                <wp:effectExtent l="0" t="0" r="9525" b="9525"/>
                <wp:wrapNone/>
                <wp:docPr id="20" name="Rectangle: Rounded Corners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14425" cy="790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E12C7" w14:textId="2FE82F38" w:rsidR="00ED0877" w:rsidRDefault="00ED0877" w:rsidP="00FE0514">
                            <w:pPr>
                              <w:spacing w:after="0" w:line="240" w:lineRule="auto"/>
                              <w:jc w:val="center"/>
                              <w:rPr>
                                <w:b/>
                                <w:color w:val="FFFFFF" w:themeColor="background1"/>
                                <w:sz w:val="20"/>
                              </w:rPr>
                            </w:pPr>
                            <w:r w:rsidRPr="00FE0514">
                              <w:rPr>
                                <w:b/>
                                <w:color w:val="FFFFFF" w:themeColor="background1"/>
                                <w:sz w:val="20"/>
                              </w:rPr>
                              <w:t xml:space="preserve">Add </w:t>
                            </w:r>
                            <w:r>
                              <w:rPr>
                                <w:b/>
                                <w:color w:val="FFFFFF" w:themeColor="background1"/>
                                <w:sz w:val="20"/>
                              </w:rPr>
                              <w:t>C</w:t>
                            </w:r>
                            <w:r w:rsidRPr="00FE0514">
                              <w:rPr>
                                <w:b/>
                                <w:color w:val="FFFFFF" w:themeColor="background1"/>
                                <w:sz w:val="20"/>
                              </w:rPr>
                              <w:t>ountry-</w:t>
                            </w:r>
                            <w:r>
                              <w:rPr>
                                <w:b/>
                                <w:color w:val="FFFFFF" w:themeColor="background1"/>
                                <w:sz w:val="20"/>
                              </w:rPr>
                              <w:t>S</w:t>
                            </w:r>
                            <w:r w:rsidRPr="00FE0514">
                              <w:rPr>
                                <w:b/>
                                <w:color w:val="FFFFFF" w:themeColor="background1"/>
                                <w:sz w:val="20"/>
                              </w:rPr>
                              <w:t>pecific</w:t>
                            </w:r>
                          </w:p>
                          <w:p w14:paraId="10A0633F" w14:textId="63BF994D" w:rsidR="00ED0877" w:rsidRPr="00FE0514" w:rsidRDefault="00ED0877" w:rsidP="00FE0514">
                            <w:pPr>
                              <w:spacing w:after="0" w:line="240" w:lineRule="auto"/>
                              <w:jc w:val="center"/>
                              <w:rPr>
                                <w:b/>
                                <w:color w:val="FFFFFF" w:themeColor="background1"/>
                                <w:sz w:val="16"/>
                              </w:rPr>
                            </w:pPr>
                            <w:r w:rsidRPr="00FE0514">
                              <w:rPr>
                                <w:b/>
                                <w:color w:val="FFFFFF" w:themeColor="background1"/>
                                <w:sz w:val="20"/>
                              </w:rPr>
                              <w:t xml:space="preserve"> Information</w:t>
                            </w:r>
                            <w:r>
                              <w:rPr>
                                <w:b/>
                                <w:color w:val="FFFFFF" w:themeColor="background1"/>
                                <w:sz w:val="20"/>
                              </w:rPr>
                              <w:t xml:space="preserve"> to template tables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EA6C1" id="Rectangle: Rounded Corners 20" o:spid="_x0000_s1027" alt="&quot;&quot;" style="position:absolute;margin-left:128.25pt;margin-top:16.85pt;width:87.75pt;height:62.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" filled="f" stroked="f" strokeweight="1pt">
                <v:stroke joinstyle="miter"/>
                <v:textbox inset="0,0,0,0">
                  <w:txbxContent>
                    <w:p w14:paraId="11CE12C7" w14:textId="2FE82F38" w:rsidR="00ED0877" w:rsidRDefault="00ED0877" w:rsidP="00FE0514">
                      <w:pPr>
                        <w:spacing w:after="0" w:line="240" w:lineRule="auto"/>
                        <w:jc w:val="center"/>
                        <w:rPr>
                          <w:b/>
                          <w:color w:val="FFFFFF" w:themeColor="background1"/>
                          <w:sz w:val="20"/>
                        </w:rPr>
                      </w:pPr>
                      <w:r w:rsidRPr="00FE0514">
                        <w:rPr>
                          <w:b/>
                          <w:color w:val="FFFFFF" w:themeColor="background1"/>
                          <w:sz w:val="20"/>
                        </w:rPr>
                        <w:t xml:space="preserve">Add </w:t>
                      </w:r>
                      <w:r>
                        <w:rPr>
                          <w:b/>
                          <w:color w:val="FFFFFF" w:themeColor="background1"/>
                          <w:sz w:val="20"/>
                        </w:rPr>
                        <w:t>C</w:t>
                      </w:r>
                      <w:r w:rsidRPr="00FE0514">
                        <w:rPr>
                          <w:b/>
                          <w:color w:val="FFFFFF" w:themeColor="background1"/>
                          <w:sz w:val="20"/>
                        </w:rPr>
                        <w:t>ountry-</w:t>
                      </w:r>
                      <w:r>
                        <w:rPr>
                          <w:b/>
                          <w:color w:val="FFFFFF" w:themeColor="background1"/>
                          <w:sz w:val="20"/>
                        </w:rPr>
                        <w:t>S</w:t>
                      </w:r>
                      <w:r w:rsidRPr="00FE0514">
                        <w:rPr>
                          <w:b/>
                          <w:color w:val="FFFFFF" w:themeColor="background1"/>
                          <w:sz w:val="20"/>
                        </w:rPr>
                        <w:t>pecific</w:t>
                      </w:r>
                    </w:p>
                    <w:p w14:paraId="10A0633F" w14:textId="63BF994D" w:rsidR="00ED0877" w:rsidRPr="00FE0514" w:rsidRDefault="00ED0877" w:rsidP="00FE0514">
                      <w:pPr>
                        <w:spacing w:after="0" w:line="240" w:lineRule="auto"/>
                        <w:jc w:val="center"/>
                        <w:rPr>
                          <w:b/>
                          <w:color w:val="FFFFFF" w:themeColor="background1"/>
                          <w:sz w:val="16"/>
                        </w:rPr>
                      </w:pPr>
                      <w:r w:rsidRPr="00FE0514">
                        <w:rPr>
                          <w:b/>
                          <w:color w:val="FFFFFF" w:themeColor="background1"/>
                          <w:sz w:val="20"/>
                        </w:rPr>
                        <w:t xml:space="preserve"> Information</w:t>
                      </w:r>
                      <w:r>
                        <w:rPr>
                          <w:b/>
                          <w:color w:val="FFFFFF" w:themeColor="background1"/>
                          <w:sz w:val="20"/>
                        </w:rPr>
                        <w:t xml:space="preserve"> to template tables</w:t>
                      </w:r>
                    </w:p>
                  </w:txbxContent>
                </v:textbox>
              </v:roundrect>
            </w:pict>
          </mc:Fallback>
        </mc:AlternateContent>
      </w:r>
      <w:r w:rsidR="002936ED">
        <w:rPr>
          <w:noProof/>
        </w:rPr>
        <mc:AlternateContent>
          <mc:Choice Requires="wps">
            <w:drawing>
              <wp:anchor distT="0" distB="0" distL="114300" distR="114300" simplePos="0" relativeHeight="251658240" behindDoc="0" locked="0" layoutInCell="1" allowOverlap="1" wp14:anchorId="1211C155" wp14:editId="77A2099F">
                <wp:simplePos x="0" y="0"/>
                <wp:positionH relativeFrom="column">
                  <wp:posOffset>103563</wp:posOffset>
                </wp:positionH>
                <wp:positionV relativeFrom="paragraph">
                  <wp:posOffset>84455</wp:posOffset>
                </wp:positionV>
                <wp:extent cx="7806690" cy="1049020"/>
                <wp:effectExtent l="0" t="0" r="22860" b="1778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6690" cy="1049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D95AE" id="Rectangle 13" o:spid="_x0000_s1026" style="position:absolute;margin-left:8.15pt;margin-top:6.65pt;width:614.7pt;height: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" fillcolor="#4472c4 [3204]" strokecolor="#1f3763 [1604]" strokeweight="1pt"/>
            </w:pict>
          </mc:Fallback>
        </mc:AlternateContent>
      </w:r>
      <w:r w:rsidR="002936ED">
        <w:rPr>
          <w:noProof/>
        </w:rPr>
        <mc:AlternateContent>
          <mc:Choice Requires="wps">
            <w:drawing>
              <wp:anchor distT="0" distB="0" distL="114300" distR="114300" simplePos="0" relativeHeight="251658244" behindDoc="0" locked="0" layoutInCell="1" allowOverlap="1" wp14:anchorId="42D3A6EA" wp14:editId="0306ABA0">
                <wp:simplePos x="0" y="0"/>
                <wp:positionH relativeFrom="column">
                  <wp:posOffset>4652010</wp:posOffset>
                </wp:positionH>
                <wp:positionV relativeFrom="paragraph">
                  <wp:posOffset>223578</wp:posOffset>
                </wp:positionV>
                <wp:extent cx="1524000" cy="733425"/>
                <wp:effectExtent l="0" t="0" r="0" b="9525"/>
                <wp:wrapNone/>
                <wp:docPr id="22" name="Rectangle: Rounded Corners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0" cy="733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C3756B" w14:textId="32228AF6" w:rsidR="00ED0877" w:rsidRPr="00FE0514" w:rsidRDefault="00ED0877" w:rsidP="00FE0514">
                            <w:pPr>
                              <w:spacing w:after="0" w:line="240" w:lineRule="auto"/>
                              <w:jc w:val="center"/>
                              <w:rPr>
                                <w:b/>
                                <w:color w:val="FFFFFF" w:themeColor="background1"/>
                                <w:sz w:val="16"/>
                              </w:rPr>
                            </w:pPr>
                            <w:r>
                              <w:rPr>
                                <w:b/>
                                <w:color w:val="FFFFFF" w:themeColor="background1"/>
                                <w:sz w:val="20"/>
                              </w:rPr>
                              <w:t>Repeat with other templates and compile to create your GHG Inventory System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3A6EA" id="Rectangle: Rounded Corners 22" o:spid="_x0000_s1028" alt="&quot;&quot;" style="position:absolute;margin-left:366.3pt;margin-top:17.6pt;width:120pt;height:57.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" filled="f" stroked="f" strokeweight="1pt">
                <v:stroke joinstyle="miter"/>
                <v:textbox inset="0,0,0,0">
                  <w:txbxContent>
                    <w:p w14:paraId="26C3756B" w14:textId="32228AF6" w:rsidR="00ED0877" w:rsidRPr="00FE0514" w:rsidRDefault="00ED0877" w:rsidP="00FE0514">
                      <w:pPr>
                        <w:spacing w:after="0" w:line="240" w:lineRule="auto"/>
                        <w:jc w:val="center"/>
                        <w:rPr>
                          <w:b/>
                          <w:color w:val="FFFFFF" w:themeColor="background1"/>
                          <w:sz w:val="16"/>
                        </w:rPr>
                      </w:pPr>
                      <w:r>
                        <w:rPr>
                          <w:b/>
                          <w:color w:val="FFFFFF" w:themeColor="background1"/>
                          <w:sz w:val="20"/>
                        </w:rPr>
                        <w:t>Repeat with other templates and compile to create your GHG Inventory System Manual</w:t>
                      </w:r>
                    </w:p>
                  </w:txbxContent>
                </v:textbox>
              </v:roundrect>
            </w:pict>
          </mc:Fallback>
        </mc:AlternateContent>
      </w:r>
      <w:r w:rsidR="005338FE" w:rsidRPr="005338FE">
        <w:rPr>
          <w:noProof/>
        </w:rPr>
        <w:drawing>
          <wp:anchor distT="0" distB="0" distL="114300" distR="114300" simplePos="0" relativeHeight="251658251" behindDoc="1" locked="0" layoutInCell="1" allowOverlap="1" wp14:anchorId="5674D431" wp14:editId="1E580449">
            <wp:simplePos x="0" y="0"/>
            <wp:positionH relativeFrom="column">
              <wp:posOffset>406621</wp:posOffset>
            </wp:positionH>
            <wp:positionV relativeFrom="paragraph">
              <wp:posOffset>176585</wp:posOffset>
            </wp:positionV>
            <wp:extent cx="556260" cy="556260"/>
            <wp:effectExtent l="0" t="0" r="0" b="0"/>
            <wp:wrapTight wrapText="bothSides">
              <wp:wrapPolygon edited="0">
                <wp:start x="6658" y="0"/>
                <wp:lineTo x="2219" y="3699"/>
                <wp:lineTo x="0" y="7397"/>
                <wp:lineTo x="0" y="14055"/>
                <wp:lineTo x="4438" y="19973"/>
                <wp:lineTo x="5918" y="20712"/>
                <wp:lineTo x="14795" y="20712"/>
                <wp:lineTo x="16274" y="19973"/>
                <wp:lineTo x="20712" y="14055"/>
                <wp:lineTo x="20712" y="7397"/>
                <wp:lineTo x="17753" y="2219"/>
                <wp:lineTo x="14055" y="0"/>
                <wp:lineTo x="6658" y="0"/>
              </wp:wrapPolygon>
            </wp:wrapTight>
            <wp:docPr id="4"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5338FE" w:rsidRPr="005338FE">
        <w:rPr>
          <w:noProof/>
        </w:rPr>
        <w:drawing>
          <wp:anchor distT="0" distB="0" distL="114300" distR="114300" simplePos="0" relativeHeight="251658250" behindDoc="1" locked="0" layoutInCell="1" allowOverlap="1" wp14:anchorId="296E6CCD" wp14:editId="31A9312C">
            <wp:simplePos x="0" y="0"/>
            <wp:positionH relativeFrom="column">
              <wp:posOffset>3417956</wp:posOffset>
            </wp:positionH>
            <wp:positionV relativeFrom="paragraph">
              <wp:posOffset>175370</wp:posOffset>
            </wp:positionV>
            <wp:extent cx="556260" cy="556260"/>
            <wp:effectExtent l="0" t="0" r="0" b="0"/>
            <wp:wrapTight wrapText="bothSides">
              <wp:wrapPolygon edited="0">
                <wp:start x="6658" y="0"/>
                <wp:lineTo x="2219" y="3699"/>
                <wp:lineTo x="0" y="7397"/>
                <wp:lineTo x="0" y="14055"/>
                <wp:lineTo x="4438" y="19973"/>
                <wp:lineTo x="5918" y="20712"/>
                <wp:lineTo x="14795" y="20712"/>
                <wp:lineTo x="16274" y="19973"/>
                <wp:lineTo x="20712" y="14055"/>
                <wp:lineTo x="20712" y="7397"/>
                <wp:lineTo x="17753" y="2219"/>
                <wp:lineTo x="14055" y="0"/>
                <wp:lineTo x="6658" y="0"/>
              </wp:wrapPolygon>
            </wp:wrapTight>
            <wp:docPr id="109" name="Picture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margin">
              <wp14:pctWidth>0</wp14:pctWidth>
            </wp14:sizeRelH>
            <wp14:sizeRelV relativeFrom="margin">
              <wp14:pctHeight>0</wp14:pctHeight>
            </wp14:sizeRelV>
          </wp:anchor>
        </w:drawing>
      </w:r>
      <w:r w:rsidR="005338FE" w:rsidRPr="005338FE">
        <w:rPr>
          <w:noProof/>
        </w:rPr>
        <w:drawing>
          <wp:anchor distT="0" distB="0" distL="114300" distR="114300" simplePos="0" relativeHeight="251658247" behindDoc="1" locked="0" layoutInCell="1" allowOverlap="1" wp14:anchorId="30A40021" wp14:editId="42D037DB">
            <wp:simplePos x="0" y="0"/>
            <wp:positionH relativeFrom="column">
              <wp:posOffset>6726472</wp:posOffset>
            </wp:positionH>
            <wp:positionV relativeFrom="paragraph">
              <wp:posOffset>151765</wp:posOffset>
            </wp:positionV>
            <wp:extent cx="564515" cy="564515"/>
            <wp:effectExtent l="0" t="0" r="6985" b="6985"/>
            <wp:wrapTight wrapText="bothSides">
              <wp:wrapPolygon edited="0">
                <wp:start x="7289" y="0"/>
                <wp:lineTo x="2916" y="2916"/>
                <wp:lineTo x="0" y="7289"/>
                <wp:lineTo x="0" y="13849"/>
                <wp:lineTo x="5102" y="20409"/>
                <wp:lineTo x="6560" y="21138"/>
                <wp:lineTo x="14578" y="21138"/>
                <wp:lineTo x="16036" y="20409"/>
                <wp:lineTo x="21138" y="14578"/>
                <wp:lineTo x="21138" y="7289"/>
                <wp:lineTo x="18223" y="2916"/>
                <wp:lineTo x="13849" y="0"/>
                <wp:lineTo x="7289" y="0"/>
              </wp:wrapPolygon>
            </wp:wrapTight>
            <wp:docPr id="104" name="Picture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4515" cy="564515"/>
                    </a:xfrm>
                    <a:prstGeom prst="rect">
                      <a:avLst/>
                    </a:prstGeom>
                  </pic:spPr>
                </pic:pic>
              </a:graphicData>
            </a:graphic>
            <wp14:sizeRelH relativeFrom="margin">
              <wp14:pctWidth>0</wp14:pctWidth>
            </wp14:sizeRelH>
            <wp14:sizeRelV relativeFrom="margin">
              <wp14:pctHeight>0</wp14:pctHeight>
            </wp14:sizeRelV>
          </wp:anchor>
        </w:drawing>
      </w:r>
    </w:p>
    <w:p w14:paraId="00E10F90" w14:textId="3C3B5BE2" w:rsidR="005D018F" w:rsidRDefault="002936ED" w:rsidP="005D018F">
      <w:r>
        <w:rPr>
          <w:noProof/>
        </w:rPr>
        <mc:AlternateContent>
          <mc:Choice Requires="wps">
            <w:drawing>
              <wp:anchor distT="0" distB="0" distL="114300" distR="114300" simplePos="0" relativeHeight="251658245" behindDoc="0" locked="0" layoutInCell="1" allowOverlap="1" wp14:anchorId="3762C320" wp14:editId="48FBA25A">
                <wp:simplePos x="0" y="0"/>
                <wp:positionH relativeFrom="column">
                  <wp:posOffset>4079298</wp:posOffset>
                </wp:positionH>
                <wp:positionV relativeFrom="paragraph">
                  <wp:posOffset>190500</wp:posOffset>
                </wp:positionV>
                <wp:extent cx="590550" cy="274955"/>
                <wp:effectExtent l="0" t="19050" r="38100" b="29845"/>
                <wp:wrapNone/>
                <wp:docPr id="23" name="Arrow: Right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 cy="274955"/>
                        </a:xfrm>
                        <a:prstGeom prst="rightArrow">
                          <a:avLst>
                            <a:gd name="adj1" fmla="val 30341"/>
                            <a:gd name="adj2" fmla="val 50000"/>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F7A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3" o:spid="_x0000_s1026" type="#_x0000_t13" style="position:absolute;margin-left:321.2pt;margin-top:15pt;width:46.5pt;height:2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" adj="16572,7523" fillcolor="#ed7d31 [3205]" strokecolor="#c45911 [2405]" strokeweight="1pt"/>
            </w:pict>
          </mc:Fallback>
        </mc:AlternateContent>
      </w:r>
      <w:r>
        <w:rPr>
          <w:noProof/>
        </w:rPr>
        <mc:AlternateContent>
          <mc:Choice Requires="wps">
            <w:drawing>
              <wp:anchor distT="0" distB="0" distL="114300" distR="114300" simplePos="0" relativeHeight="251658242" behindDoc="0" locked="0" layoutInCell="1" allowOverlap="1" wp14:anchorId="2315BFF3" wp14:editId="78902FB5">
                <wp:simplePos x="0" y="0"/>
                <wp:positionH relativeFrom="column">
                  <wp:posOffset>2686627</wp:posOffset>
                </wp:positionH>
                <wp:positionV relativeFrom="paragraph">
                  <wp:posOffset>193040</wp:posOffset>
                </wp:positionV>
                <wp:extent cx="590550" cy="274955"/>
                <wp:effectExtent l="0" t="19050" r="38100" b="29845"/>
                <wp:wrapNone/>
                <wp:docPr id="17" name="Arrow: Righ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 cy="274955"/>
                        </a:xfrm>
                        <a:prstGeom prst="rightArrow">
                          <a:avLst>
                            <a:gd name="adj1" fmla="val 30341"/>
                            <a:gd name="adj2" fmla="val 50000"/>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C3C1E" id="Arrow: Right 17" o:spid="_x0000_s1026" type="#_x0000_t13" style="position:absolute;margin-left:211.55pt;margin-top:15.2pt;width:46.5pt;height:2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" adj="16572,7523" fillcolor="#ed7d31 [3205]" strokecolor="#c45911 [2405]" strokeweight="1pt"/>
            </w:pict>
          </mc:Fallback>
        </mc:AlternateContent>
      </w:r>
      <w:r>
        <w:rPr>
          <w:noProof/>
        </w:rPr>
        <mc:AlternateContent>
          <mc:Choice Requires="wps">
            <w:drawing>
              <wp:anchor distT="0" distB="0" distL="114300" distR="114300" simplePos="0" relativeHeight="251658246" behindDoc="0" locked="0" layoutInCell="1" allowOverlap="1" wp14:anchorId="531B917F" wp14:editId="4E832ADD">
                <wp:simplePos x="0" y="0"/>
                <wp:positionH relativeFrom="column">
                  <wp:posOffset>6183572</wp:posOffset>
                </wp:positionH>
                <wp:positionV relativeFrom="paragraph">
                  <wp:posOffset>190500</wp:posOffset>
                </wp:positionV>
                <wp:extent cx="438150" cy="274955"/>
                <wp:effectExtent l="0" t="19050" r="38100" b="29845"/>
                <wp:wrapNone/>
                <wp:docPr id="24" name="Arrow: Right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8150" cy="274955"/>
                        </a:xfrm>
                        <a:prstGeom prst="rightArrow">
                          <a:avLst>
                            <a:gd name="adj1" fmla="val 30341"/>
                            <a:gd name="adj2" fmla="val 50000"/>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8D1AB" id="Arrow: Right 24" o:spid="_x0000_s1026" type="#_x0000_t13" style="position:absolute;margin-left:486.9pt;margin-top:15pt;width:34.5pt;height:2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" adj="14823,7523" fillcolor="#ed7d31 [3205]" strokecolor="#c45911 [2405]" strokeweight="1pt"/>
            </w:pict>
          </mc:Fallback>
        </mc:AlternateContent>
      </w:r>
      <w:r>
        <w:rPr>
          <w:noProof/>
        </w:rPr>
        <mc:AlternateContent>
          <mc:Choice Requires="wps">
            <w:drawing>
              <wp:anchor distT="0" distB="0" distL="114300" distR="114300" simplePos="0" relativeHeight="251658241" behindDoc="0" locked="0" layoutInCell="1" allowOverlap="1" wp14:anchorId="3C131A0E" wp14:editId="191040B8">
                <wp:simplePos x="0" y="0"/>
                <wp:positionH relativeFrom="column">
                  <wp:posOffset>1152525</wp:posOffset>
                </wp:positionH>
                <wp:positionV relativeFrom="paragraph">
                  <wp:posOffset>192463</wp:posOffset>
                </wp:positionV>
                <wp:extent cx="590550" cy="274955"/>
                <wp:effectExtent l="0" t="19050" r="38100" b="29845"/>
                <wp:wrapNone/>
                <wp:docPr id="15" name="Arrow: Right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550" cy="274955"/>
                        </a:xfrm>
                        <a:prstGeom prst="rightArrow">
                          <a:avLst>
                            <a:gd name="adj1" fmla="val 30341"/>
                            <a:gd name="adj2" fmla="val 50000"/>
                          </a:avLst>
                        </a:prstGeom>
                        <a:solidFill>
                          <a:schemeClr val="accent2"/>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82907" id="Arrow: Right 15" o:spid="_x0000_s1026" type="#_x0000_t13" style="position:absolute;margin-left:90.75pt;margin-top:15.15pt;width:46.5pt;height:21.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" adj="16572,7523" fillcolor="#ed7d31 [3205]" strokecolor="#c45911 [2405]" strokeweight="1pt"/>
            </w:pict>
          </mc:Fallback>
        </mc:AlternateContent>
      </w:r>
    </w:p>
    <w:p w14:paraId="141C49A6" w14:textId="354C2621" w:rsidR="005D018F" w:rsidRDefault="002936ED" w:rsidP="005D018F">
      <w:r>
        <w:rPr>
          <w:noProof/>
        </w:rPr>
        <mc:AlternateContent>
          <mc:Choice Requires="wps">
            <w:drawing>
              <wp:anchor distT="0" distB="0" distL="114300" distR="114300" simplePos="0" relativeHeight="251658252" behindDoc="0" locked="0" layoutInCell="1" allowOverlap="1" wp14:anchorId="3FC9BD81" wp14:editId="31F2D97D">
                <wp:simplePos x="0" y="0"/>
                <wp:positionH relativeFrom="column">
                  <wp:posOffset>6323965</wp:posOffset>
                </wp:positionH>
                <wp:positionV relativeFrom="paragraph">
                  <wp:posOffset>183457</wp:posOffset>
                </wp:positionV>
                <wp:extent cx="1440872" cy="381662"/>
                <wp:effectExtent l="0" t="0" r="6985" b="0"/>
                <wp:wrapNone/>
                <wp:docPr id="5"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0872" cy="38166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9C5D25" w14:textId="274B75F0" w:rsidR="00ED0877" w:rsidRPr="00FE0514" w:rsidRDefault="00ED0877" w:rsidP="002936ED">
                            <w:pPr>
                              <w:spacing w:after="0" w:line="240" w:lineRule="auto"/>
                              <w:jc w:val="center"/>
                              <w:rPr>
                                <w:b/>
                                <w:color w:val="FFFFFF" w:themeColor="background1"/>
                                <w:sz w:val="16"/>
                              </w:rPr>
                            </w:pPr>
                            <w:r>
                              <w:rPr>
                                <w:b/>
                                <w:color w:val="FFFFFF" w:themeColor="background1"/>
                                <w:sz w:val="20"/>
                              </w:rPr>
                              <w:t>Country X GHG Inventory System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9BD81" id="Rectangle: Rounded Corners 3" o:spid="_x0000_s1029" alt="&quot;&quot;" style="position:absolute;margin-left:497.95pt;margin-top:14.45pt;width:113.45pt;height:30.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" filled="f" stroked="f" strokeweight="1pt">
                <v:stroke joinstyle="miter"/>
                <v:textbox inset="0,0,0,0">
                  <w:txbxContent>
                    <w:p w14:paraId="199C5D25" w14:textId="274B75F0" w:rsidR="00ED0877" w:rsidRPr="00FE0514" w:rsidRDefault="00ED0877" w:rsidP="002936ED">
                      <w:pPr>
                        <w:spacing w:after="0" w:line="240" w:lineRule="auto"/>
                        <w:jc w:val="center"/>
                        <w:rPr>
                          <w:b/>
                          <w:color w:val="FFFFFF" w:themeColor="background1"/>
                          <w:sz w:val="16"/>
                        </w:rPr>
                      </w:pPr>
                      <w:r>
                        <w:rPr>
                          <w:b/>
                          <w:color w:val="FFFFFF" w:themeColor="background1"/>
                          <w:sz w:val="20"/>
                        </w:rPr>
                        <w:t>Country X GHG Inventory System Manual</w:t>
                      </w:r>
                    </w:p>
                  </w:txbxContent>
                </v:textbox>
              </v:roundrect>
            </w:pict>
          </mc:Fallback>
        </mc:AlternateContent>
      </w:r>
      <w:r w:rsidR="005338FE">
        <w:rPr>
          <w:noProof/>
        </w:rPr>
        <mc:AlternateContent>
          <mc:Choice Requires="wps">
            <w:drawing>
              <wp:anchor distT="0" distB="0" distL="114300" distR="114300" simplePos="0" relativeHeight="251658248" behindDoc="0" locked="0" layoutInCell="1" allowOverlap="1" wp14:anchorId="2F795DE3" wp14:editId="4C8E6B60">
                <wp:simplePos x="0" y="0"/>
                <wp:positionH relativeFrom="column">
                  <wp:posOffset>387408</wp:posOffset>
                </wp:positionH>
                <wp:positionV relativeFrom="paragraph">
                  <wp:posOffset>233565</wp:posOffset>
                </wp:positionV>
                <wp:extent cx="588818" cy="199448"/>
                <wp:effectExtent l="0" t="0" r="1905" b="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818" cy="19944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DC5FA" w14:textId="1C0CFA61" w:rsidR="00ED0877" w:rsidRPr="00FE0514" w:rsidRDefault="00ED0877" w:rsidP="005338FE">
                            <w:pPr>
                              <w:spacing w:after="0" w:line="240" w:lineRule="auto"/>
                              <w:jc w:val="center"/>
                              <w:rPr>
                                <w:b/>
                                <w:color w:val="FFFFFF" w:themeColor="background1"/>
                                <w:sz w:val="16"/>
                              </w:rPr>
                            </w:pPr>
                            <w:r>
                              <w:rPr>
                                <w:b/>
                                <w:color w:val="FFFFFF" w:themeColor="background1"/>
                                <w:sz w:val="20"/>
                              </w:rPr>
                              <w:t>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95DE3" id="Rectangle: Rounded Corners 2" o:spid="_x0000_s1030" alt="&quot;&quot;" style="position:absolute;margin-left:30.5pt;margin-top:18.4pt;width:46.35pt;height:1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" filled="f" stroked="f" strokeweight="1pt">
                <v:stroke joinstyle="miter"/>
                <v:textbox inset="0,0,0,0">
                  <w:txbxContent>
                    <w:p w14:paraId="295DC5FA" w14:textId="1C0CFA61" w:rsidR="00ED0877" w:rsidRPr="00FE0514" w:rsidRDefault="00ED0877" w:rsidP="005338FE">
                      <w:pPr>
                        <w:spacing w:after="0" w:line="240" w:lineRule="auto"/>
                        <w:jc w:val="center"/>
                        <w:rPr>
                          <w:b/>
                          <w:color w:val="FFFFFF" w:themeColor="background1"/>
                          <w:sz w:val="16"/>
                        </w:rPr>
                      </w:pPr>
                      <w:r>
                        <w:rPr>
                          <w:b/>
                          <w:color w:val="FFFFFF" w:themeColor="background1"/>
                          <w:sz w:val="20"/>
                        </w:rPr>
                        <w:t>Template</w:t>
                      </w:r>
                    </w:p>
                  </w:txbxContent>
                </v:textbox>
              </v:roundrect>
            </w:pict>
          </mc:Fallback>
        </mc:AlternateContent>
      </w:r>
      <w:r w:rsidR="005338FE">
        <w:rPr>
          <w:noProof/>
        </w:rPr>
        <mc:AlternateContent>
          <mc:Choice Requires="wps">
            <w:drawing>
              <wp:anchor distT="0" distB="0" distL="114300" distR="114300" simplePos="0" relativeHeight="251658249" behindDoc="0" locked="0" layoutInCell="1" allowOverlap="1" wp14:anchorId="22BEDD22" wp14:editId="0EBA1FFD">
                <wp:simplePos x="0" y="0"/>
                <wp:positionH relativeFrom="column">
                  <wp:posOffset>3100429</wp:posOffset>
                </wp:positionH>
                <wp:positionV relativeFrom="paragraph">
                  <wp:posOffset>176640</wp:posOffset>
                </wp:positionV>
                <wp:extent cx="1319917" cy="381662"/>
                <wp:effectExtent l="0" t="0" r="0" b="762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19917" cy="38166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9FB864" w14:textId="7B78C6DE" w:rsidR="00ED0877" w:rsidRPr="00914E0F" w:rsidRDefault="00ED0877" w:rsidP="005338FE">
                            <w:pPr>
                              <w:spacing w:after="0" w:line="240" w:lineRule="auto"/>
                              <w:jc w:val="center"/>
                              <w:rPr>
                                <w:b/>
                                <w:color w:val="FFFFFF" w:themeColor="background1"/>
                                <w:sz w:val="14"/>
                              </w:rPr>
                            </w:pPr>
                            <w:r w:rsidRPr="00914E0F">
                              <w:rPr>
                                <w:b/>
                                <w:color w:val="FFFFFF" w:themeColor="background1"/>
                                <w:sz w:val="18"/>
                              </w:rPr>
                              <w:t>Produce Country</w:t>
                            </w:r>
                            <w:r w:rsidR="00A63697">
                              <w:rPr>
                                <w:b/>
                                <w:color w:val="FFFFFF" w:themeColor="background1"/>
                                <w:sz w:val="18"/>
                              </w:rPr>
                              <w:t xml:space="preserve"> X</w:t>
                            </w:r>
                            <w:r w:rsidRPr="00914E0F">
                              <w:rPr>
                                <w:b/>
                                <w:color w:val="FFFFFF" w:themeColor="background1"/>
                                <w:sz w:val="18"/>
                              </w:rPr>
                              <w:t xml:space="preserve"> Plan, Procedures, or Guide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EDD22" id="_x0000_s1031" alt="&quot;&quot;" style="position:absolute;margin-left:244.15pt;margin-top:13.9pt;width:103.95pt;height:30.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" filled="f" stroked="f" strokeweight="1pt">
                <v:stroke joinstyle="miter"/>
                <v:textbox inset="0,0,0,0">
                  <w:txbxContent>
                    <w:p w14:paraId="439FB864" w14:textId="7B78C6DE" w:rsidR="00ED0877" w:rsidRPr="00914E0F" w:rsidRDefault="00ED0877" w:rsidP="005338FE">
                      <w:pPr>
                        <w:spacing w:after="0" w:line="240" w:lineRule="auto"/>
                        <w:jc w:val="center"/>
                        <w:rPr>
                          <w:b/>
                          <w:color w:val="FFFFFF" w:themeColor="background1"/>
                          <w:sz w:val="14"/>
                        </w:rPr>
                      </w:pPr>
                      <w:r w:rsidRPr="00914E0F">
                        <w:rPr>
                          <w:b/>
                          <w:color w:val="FFFFFF" w:themeColor="background1"/>
                          <w:sz w:val="18"/>
                        </w:rPr>
                        <w:t>Produce Country</w:t>
                      </w:r>
                      <w:r w:rsidR="00A63697">
                        <w:rPr>
                          <w:b/>
                          <w:color w:val="FFFFFF" w:themeColor="background1"/>
                          <w:sz w:val="18"/>
                        </w:rPr>
                        <w:t xml:space="preserve"> X</w:t>
                      </w:r>
                      <w:r w:rsidRPr="00914E0F">
                        <w:rPr>
                          <w:b/>
                          <w:color w:val="FFFFFF" w:themeColor="background1"/>
                          <w:sz w:val="18"/>
                        </w:rPr>
                        <w:t xml:space="preserve"> Plan, Procedures, or Guide </w:t>
                      </w:r>
                    </w:p>
                  </w:txbxContent>
                </v:textbox>
              </v:roundrect>
            </w:pict>
          </mc:Fallback>
        </mc:AlternateContent>
      </w:r>
    </w:p>
    <w:p w14:paraId="11E117FA" w14:textId="7EB036C3" w:rsidR="00B568CB" w:rsidRDefault="00B568CB" w:rsidP="00B568CB">
      <w:pPr>
        <w:pStyle w:val="Heading2"/>
      </w:pPr>
      <w:r>
        <w:lastRenderedPageBreak/>
        <w:t>Additional materials in the toolkit</w:t>
      </w:r>
    </w:p>
    <w:p w14:paraId="1A2FB708" w14:textId="3D4322DD" w:rsidR="00B568CB" w:rsidRDefault="00B568CB" w:rsidP="007E29F8">
      <w:r>
        <w:t>In addition to the templates described</w:t>
      </w:r>
      <w:r w:rsidR="00E73EF5">
        <w:t xml:space="preserve"> above</w:t>
      </w:r>
      <w:r>
        <w:t xml:space="preserve">, the toolkit includes guides, </w:t>
      </w:r>
      <w:r w:rsidR="008A485D">
        <w:t xml:space="preserve">a </w:t>
      </w:r>
      <w:r>
        <w:t>Key Category Analysis tool (including a series of</w:t>
      </w:r>
      <w:r w:rsidR="008A485D">
        <w:t xml:space="preserve"> key category</w:t>
      </w:r>
      <w:r>
        <w:t xml:space="preserve"> tutorials on their use), and </w:t>
      </w:r>
      <w:r w:rsidR="002827BD">
        <w:t>an</w:t>
      </w:r>
      <w:r>
        <w:t xml:space="preserve"> Inventory Progress Indicator (IPI) tool. </w:t>
      </w:r>
      <w:r w:rsidR="00C94478">
        <w:t>T</w:t>
      </w:r>
      <w:r>
        <w:t xml:space="preserve">he following </w:t>
      </w:r>
      <w:r w:rsidR="00E31396">
        <w:t>T</w:t>
      </w:r>
      <w:r>
        <w:t>able</w:t>
      </w:r>
      <w:r w:rsidR="00C94478">
        <w:t xml:space="preserve"> </w:t>
      </w:r>
      <w:r w:rsidR="00E31396">
        <w:t xml:space="preserve">2 </w:t>
      </w:r>
      <w:r w:rsidR="00C94478">
        <w:t>describes each of these</w:t>
      </w:r>
      <w:r>
        <w:t>:</w:t>
      </w:r>
    </w:p>
    <w:p w14:paraId="2377065B" w14:textId="65488BAE" w:rsidR="00B568CB" w:rsidRPr="00C2583B" w:rsidRDefault="00B568CB" w:rsidP="00B568CB">
      <w:pPr>
        <w:pStyle w:val="Caption"/>
        <w:rPr>
          <w:rFonts w:asciiTheme="minorHAnsi" w:hAnsiTheme="minorHAnsi"/>
          <w:sz w:val="24"/>
          <w:szCs w:val="24"/>
        </w:rPr>
      </w:pPr>
      <w:r w:rsidRPr="00C2583B">
        <w:rPr>
          <w:rFonts w:asciiTheme="minorHAnsi" w:hAnsiTheme="minorHAnsi"/>
          <w:sz w:val="24"/>
          <w:szCs w:val="24"/>
        </w:rPr>
        <w:t xml:space="preserve">Table </w:t>
      </w:r>
      <w:r w:rsidR="00E31396">
        <w:rPr>
          <w:rFonts w:asciiTheme="minorHAnsi" w:hAnsiTheme="minorHAnsi"/>
          <w:sz w:val="24"/>
          <w:szCs w:val="24"/>
        </w:rPr>
        <w:t>2</w:t>
      </w:r>
      <w:r w:rsidRPr="00C2583B">
        <w:rPr>
          <w:rFonts w:asciiTheme="minorHAnsi" w:hAnsiTheme="minorHAnsi"/>
          <w:sz w:val="24"/>
          <w:szCs w:val="24"/>
        </w:rPr>
        <w:t xml:space="preserve"> Additional </w:t>
      </w:r>
      <w:r w:rsidR="00245C67">
        <w:rPr>
          <w:rFonts w:asciiTheme="minorHAnsi" w:hAnsiTheme="minorHAnsi"/>
          <w:sz w:val="24"/>
          <w:szCs w:val="24"/>
        </w:rPr>
        <w:t>R</w:t>
      </w:r>
      <w:r w:rsidR="00193562" w:rsidRPr="00C2583B">
        <w:rPr>
          <w:rFonts w:asciiTheme="minorHAnsi" w:hAnsiTheme="minorHAnsi"/>
          <w:sz w:val="24"/>
          <w:szCs w:val="24"/>
        </w:rPr>
        <w:t>esources</w:t>
      </w:r>
    </w:p>
    <w:tbl>
      <w:tblPr>
        <w:tblStyle w:val="GridTable4-Accent1"/>
        <w:tblW w:w="12595" w:type="dxa"/>
        <w:tblLook w:val="04A0" w:firstRow="1" w:lastRow="0" w:firstColumn="1" w:lastColumn="0" w:noHBand="0" w:noVBand="1"/>
      </w:tblPr>
      <w:tblGrid>
        <w:gridCol w:w="3415"/>
        <w:gridCol w:w="9180"/>
      </w:tblGrid>
      <w:tr w:rsidR="00B568CB" w:rsidRPr="00C2583B" w14:paraId="315BF519" w14:textId="77777777" w:rsidTr="001935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vAlign w:val="bottom"/>
          </w:tcPr>
          <w:p w14:paraId="283B92EC" w14:textId="7EFABBD4" w:rsidR="00B568CB" w:rsidRPr="00C2583B" w:rsidRDefault="00405350" w:rsidP="0021727F">
            <w:pPr>
              <w:jc w:val="center"/>
              <w:rPr>
                <w:rFonts w:eastAsiaTheme="majorEastAsia" w:cstheme="majorBidi"/>
                <w:spacing w:val="5"/>
                <w:kern w:val="28"/>
              </w:rPr>
            </w:pPr>
            <w:r w:rsidRPr="00C2583B">
              <w:rPr>
                <w:rFonts w:eastAsiaTheme="majorEastAsia" w:cstheme="majorBidi"/>
                <w:spacing w:val="5"/>
                <w:kern w:val="28"/>
              </w:rPr>
              <w:t>Guides and Tools</w:t>
            </w:r>
          </w:p>
        </w:tc>
        <w:tc>
          <w:tcPr>
            <w:tcW w:w="9180" w:type="dxa"/>
            <w:vAlign w:val="bottom"/>
          </w:tcPr>
          <w:p w14:paraId="1080349D" w14:textId="77777777" w:rsidR="00B568CB" w:rsidRPr="00C2583B" w:rsidRDefault="00B568CB" w:rsidP="0021727F">
            <w:pPr>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spacing w:val="5"/>
                <w:kern w:val="28"/>
              </w:rPr>
            </w:pPr>
            <w:r w:rsidRPr="00C2583B">
              <w:rPr>
                <w:rFonts w:eastAsiaTheme="majorEastAsia" w:cstheme="majorBidi"/>
                <w:spacing w:val="5"/>
                <w:kern w:val="28"/>
              </w:rPr>
              <w:t>Purpose</w:t>
            </w:r>
          </w:p>
        </w:tc>
      </w:tr>
      <w:tr w:rsidR="00B568CB" w:rsidRPr="00C2583B" w14:paraId="5BCA3A73" w14:textId="77777777" w:rsidTr="00193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41090135" w14:textId="27E43BF5" w:rsidR="00B568CB" w:rsidRPr="0079769B" w:rsidRDefault="00B568CB" w:rsidP="0021727F">
            <w:r w:rsidRPr="0079769B">
              <w:t>National Greenhouse Gas Inventory Coordinator: Responsibilities and Qualifications</w:t>
            </w:r>
          </w:p>
        </w:tc>
        <w:tc>
          <w:tcPr>
            <w:tcW w:w="9180" w:type="dxa"/>
          </w:tcPr>
          <w:p w14:paraId="11802865" w14:textId="1C6EFD71" w:rsidR="00B568CB" w:rsidRPr="0079769B" w:rsidRDefault="00193562" w:rsidP="00193562">
            <w:pPr>
              <w:cnfStyle w:val="000000100000" w:firstRow="0" w:lastRow="0" w:firstColumn="0" w:lastColumn="0" w:oddVBand="0" w:evenVBand="0" w:oddHBand="1" w:evenHBand="0" w:firstRowFirstColumn="0" w:firstRowLastColumn="0" w:lastRowFirstColumn="0" w:lastRowLastColumn="0"/>
            </w:pPr>
            <w:r w:rsidRPr="0079769B">
              <w:t>D</w:t>
            </w:r>
            <w:r w:rsidR="00B568CB" w:rsidRPr="0079769B">
              <w:t>escribe</w:t>
            </w:r>
            <w:r w:rsidRPr="0079769B">
              <w:t>s</w:t>
            </w:r>
            <w:r w:rsidR="00B568CB" w:rsidRPr="0079769B">
              <w:t xml:space="preserve"> the responsibilities of the National GHG Inventory Coordinator (NIC), and the qualifications that the NIC ideally would possess in order to effectively manage and coordinate development of a National GHG Inventory.</w:t>
            </w:r>
          </w:p>
        </w:tc>
      </w:tr>
      <w:tr w:rsidR="00B568CB" w:rsidRPr="00C2583B" w14:paraId="4E7DED5F" w14:textId="77777777" w:rsidTr="00193562">
        <w:tc>
          <w:tcPr>
            <w:cnfStyle w:val="001000000000" w:firstRow="0" w:lastRow="0" w:firstColumn="1" w:lastColumn="0" w:oddVBand="0" w:evenVBand="0" w:oddHBand="0" w:evenHBand="0" w:firstRowFirstColumn="0" w:firstRowLastColumn="0" w:lastRowFirstColumn="0" w:lastRowLastColumn="0"/>
            <w:tcW w:w="3415" w:type="dxa"/>
          </w:tcPr>
          <w:p w14:paraId="4C0F6748" w14:textId="48AB206D" w:rsidR="00B568CB" w:rsidRPr="0079769B" w:rsidRDefault="00B568CB" w:rsidP="0021727F">
            <w:r w:rsidRPr="002350D9">
              <w:t>Sector Roles and Responsibilities</w:t>
            </w:r>
          </w:p>
        </w:tc>
        <w:tc>
          <w:tcPr>
            <w:tcW w:w="9180" w:type="dxa"/>
          </w:tcPr>
          <w:p w14:paraId="05FA04F5" w14:textId="53530557" w:rsidR="00B568CB" w:rsidRPr="0079769B" w:rsidRDefault="00193562" w:rsidP="00193562">
            <w:pPr>
              <w:cnfStyle w:val="000000000000" w:firstRow="0" w:lastRow="0" w:firstColumn="0" w:lastColumn="0" w:oddVBand="0" w:evenVBand="0" w:oddHBand="0" w:evenHBand="0" w:firstRowFirstColumn="0" w:firstRowLastColumn="0" w:lastRowFirstColumn="0" w:lastRowLastColumn="0"/>
              <w:rPr>
                <w:bCs/>
              </w:rPr>
            </w:pPr>
            <w:r w:rsidRPr="0079769B">
              <w:rPr>
                <w:bCs/>
              </w:rPr>
              <w:t>D</w:t>
            </w:r>
            <w:r w:rsidR="00B568CB" w:rsidRPr="0079769B">
              <w:rPr>
                <w:bCs/>
              </w:rPr>
              <w:t>escribe</w:t>
            </w:r>
            <w:r w:rsidRPr="0079769B">
              <w:rPr>
                <w:bCs/>
              </w:rPr>
              <w:t>s</w:t>
            </w:r>
            <w:r w:rsidR="00B568CB" w:rsidRPr="0079769B">
              <w:rPr>
                <w:bCs/>
              </w:rPr>
              <w:t xml:space="preserve"> the typical roles and responsibilities of each sector lead for the national GHG inventory</w:t>
            </w:r>
            <w:r w:rsidRPr="0079769B">
              <w:rPr>
                <w:bCs/>
              </w:rPr>
              <w:t>. The sectors are</w:t>
            </w:r>
            <w:r w:rsidR="0079493C" w:rsidRPr="0079769B">
              <w:rPr>
                <w:bCs/>
              </w:rPr>
              <w:t xml:space="preserve"> </w:t>
            </w:r>
            <w:r w:rsidR="00B568CB" w:rsidRPr="0079769B">
              <w:rPr>
                <w:bCs/>
              </w:rPr>
              <w:t>Energy; Industrial Processes and Product Use; Agriculture</w:t>
            </w:r>
            <w:r w:rsidR="00F01E4B">
              <w:rPr>
                <w:bCs/>
              </w:rPr>
              <w:t>;</w:t>
            </w:r>
            <w:r w:rsidRPr="0079769B">
              <w:rPr>
                <w:bCs/>
              </w:rPr>
              <w:t xml:space="preserve"> </w:t>
            </w:r>
            <w:r w:rsidR="00F01E4B">
              <w:rPr>
                <w:bCs/>
              </w:rPr>
              <w:t xml:space="preserve">Land Use, Land-Use Change, and </w:t>
            </w:r>
            <w:r w:rsidRPr="0079769B">
              <w:rPr>
                <w:bCs/>
              </w:rPr>
              <w:t>Forestry</w:t>
            </w:r>
            <w:r w:rsidR="0079493C" w:rsidRPr="0079769B">
              <w:rPr>
                <w:bCs/>
              </w:rPr>
              <w:t>; and Waste</w:t>
            </w:r>
            <w:r w:rsidR="00B568CB" w:rsidRPr="0079769B">
              <w:rPr>
                <w:bCs/>
              </w:rPr>
              <w:t>.</w:t>
            </w:r>
          </w:p>
        </w:tc>
      </w:tr>
      <w:tr w:rsidR="00B568CB" w:rsidRPr="00C2583B" w14:paraId="5556141D" w14:textId="77777777" w:rsidTr="001935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16A228BE" w14:textId="46B6DF45" w:rsidR="00B568CB" w:rsidRPr="0079769B" w:rsidRDefault="00401DEA" w:rsidP="0021727F">
            <w:r w:rsidRPr="002350D9">
              <w:t>Key Category Analy</w:t>
            </w:r>
            <w:r w:rsidR="003F04E9" w:rsidRPr="002350D9">
              <w:t>sis t</w:t>
            </w:r>
            <w:r w:rsidRPr="002350D9">
              <w:t>ool</w:t>
            </w:r>
            <w:r w:rsidR="00B354A2" w:rsidRPr="002350D9">
              <w:t xml:space="preserve"> and tutorials</w:t>
            </w:r>
          </w:p>
        </w:tc>
        <w:tc>
          <w:tcPr>
            <w:tcW w:w="9180" w:type="dxa"/>
          </w:tcPr>
          <w:p w14:paraId="6601C368" w14:textId="608D04F9" w:rsidR="00B354A2" w:rsidRPr="002350D9" w:rsidRDefault="0079493C" w:rsidP="0079493C">
            <w:pPr>
              <w:cnfStyle w:val="000000100000" w:firstRow="0" w:lastRow="0" w:firstColumn="0" w:lastColumn="0" w:oddVBand="0" w:evenVBand="0" w:oddHBand="1" w:evenHBand="0" w:firstRowFirstColumn="0" w:firstRowLastColumn="0" w:lastRowFirstColumn="0" w:lastRowLastColumn="0"/>
            </w:pPr>
            <w:r w:rsidRPr="008C2D10">
              <w:t xml:space="preserve">To enable a country to determine its key source or sink categories from its GHG inventory emission and removal estimates, in a manner that </w:t>
            </w:r>
            <w:r w:rsidR="00401DEA" w:rsidRPr="008C2D10">
              <w:t xml:space="preserve">is consistent with </w:t>
            </w:r>
            <w:r w:rsidR="000D2785">
              <w:t xml:space="preserve">the 2006 </w:t>
            </w:r>
            <w:r w:rsidR="00401DEA" w:rsidRPr="008C2D10">
              <w:t>IPCC Guidelines</w:t>
            </w:r>
            <w:r w:rsidRPr="00D91C66">
              <w:t>.</w:t>
            </w:r>
            <w:r w:rsidR="00401DEA" w:rsidRPr="00D91C66">
              <w:t xml:space="preserve"> </w:t>
            </w:r>
            <w:r w:rsidR="00B354A2" w:rsidRPr="00D91C66">
              <w:t>Tutorials can be used to train new inventory team members on this important conce</w:t>
            </w:r>
            <w:r w:rsidR="00B354A2" w:rsidRPr="002350D9">
              <w:t>pt.</w:t>
            </w:r>
          </w:p>
        </w:tc>
      </w:tr>
      <w:tr w:rsidR="00B568CB" w:rsidRPr="00C2583B" w14:paraId="14828F19" w14:textId="77777777" w:rsidTr="00193562">
        <w:tc>
          <w:tcPr>
            <w:cnfStyle w:val="001000000000" w:firstRow="0" w:lastRow="0" w:firstColumn="1" w:lastColumn="0" w:oddVBand="0" w:evenVBand="0" w:oddHBand="0" w:evenHBand="0" w:firstRowFirstColumn="0" w:firstRowLastColumn="0" w:lastRowFirstColumn="0" w:lastRowLastColumn="0"/>
            <w:tcW w:w="3415" w:type="dxa"/>
          </w:tcPr>
          <w:p w14:paraId="13AA159E" w14:textId="7504B36E" w:rsidR="00B568CB" w:rsidRPr="0079769B" w:rsidRDefault="003F04E9" w:rsidP="00B64700">
            <w:r w:rsidRPr="0079769B">
              <w:t>Inventory Progress Indicator (</w:t>
            </w:r>
            <w:r w:rsidR="00193562" w:rsidRPr="0079769B">
              <w:t>IPI</w:t>
            </w:r>
            <w:r w:rsidRPr="0079769B">
              <w:t>) tool</w:t>
            </w:r>
          </w:p>
        </w:tc>
        <w:tc>
          <w:tcPr>
            <w:tcW w:w="9180" w:type="dxa"/>
          </w:tcPr>
          <w:p w14:paraId="7F0C1A72" w14:textId="616CE594" w:rsidR="00B568CB" w:rsidRPr="002350D9" w:rsidRDefault="003F04E9" w:rsidP="003F04E9">
            <w:pPr>
              <w:cnfStyle w:val="000000000000" w:firstRow="0" w:lastRow="0" w:firstColumn="0" w:lastColumn="0" w:oddVBand="0" w:evenVBand="0" w:oddHBand="0" w:evenHBand="0" w:firstRowFirstColumn="0" w:firstRowLastColumn="0" w:lastRowFirstColumn="0" w:lastRowLastColumn="0"/>
              <w:rPr>
                <w:bCs/>
              </w:rPr>
            </w:pPr>
            <w:r w:rsidRPr="002350D9">
              <w:rPr>
                <w:bCs/>
              </w:rPr>
              <w:t xml:space="preserve">To assess progress with improving national GHG inventories, or similarly, to evaluate the effectiveness of activities that aim to improve GHG inventories and inventory </w:t>
            </w:r>
            <w:r w:rsidR="0017282B">
              <w:rPr>
                <w:bCs/>
              </w:rPr>
              <w:t>management</w:t>
            </w:r>
            <w:r w:rsidR="0017282B" w:rsidRPr="002350D9">
              <w:rPr>
                <w:bCs/>
              </w:rPr>
              <w:t xml:space="preserve"> </w:t>
            </w:r>
            <w:r w:rsidRPr="002350D9">
              <w:rPr>
                <w:bCs/>
              </w:rPr>
              <w:t>systems.</w:t>
            </w:r>
          </w:p>
        </w:tc>
      </w:tr>
    </w:tbl>
    <w:p w14:paraId="681C5B5B" w14:textId="1815966E" w:rsidR="00BF2182" w:rsidRDefault="00BF2182" w:rsidP="0079769B">
      <w:pPr>
        <w:pStyle w:val="Heading2"/>
        <w:spacing w:before="240"/>
      </w:pPr>
      <w:r>
        <w:t xml:space="preserve">Aligning the stages of the inventory cycle with the </w:t>
      </w:r>
      <w:r w:rsidR="00193562">
        <w:t>toolkit’s resources</w:t>
      </w:r>
    </w:p>
    <w:p w14:paraId="317E375F" w14:textId="29B045A5" w:rsidR="004C3CA0" w:rsidRDefault="004C3CA0" w:rsidP="0079769B">
      <w:pPr>
        <w:spacing w:before="120" w:after="120"/>
        <w:rPr>
          <w:lang w:val="en-GB" w:eastAsia="zh-CN"/>
        </w:rPr>
      </w:pPr>
      <w:r>
        <w:rPr>
          <w:lang w:val="en-GB" w:eastAsia="zh-CN"/>
        </w:rPr>
        <w:t xml:space="preserve">The </w:t>
      </w:r>
      <w:r w:rsidR="003F04E9">
        <w:rPr>
          <w:lang w:val="en-GB" w:eastAsia="zh-CN"/>
        </w:rPr>
        <w:t xml:space="preserve">following </w:t>
      </w:r>
      <w:r w:rsidR="00E31396">
        <w:rPr>
          <w:lang w:val="en-GB" w:eastAsia="zh-CN"/>
        </w:rPr>
        <w:t>T</w:t>
      </w:r>
      <w:r w:rsidR="003F04E9">
        <w:rPr>
          <w:lang w:val="en-GB" w:eastAsia="zh-CN"/>
        </w:rPr>
        <w:t>able</w:t>
      </w:r>
      <w:r w:rsidR="00E31396">
        <w:rPr>
          <w:lang w:val="en-GB" w:eastAsia="zh-CN"/>
        </w:rPr>
        <w:t xml:space="preserve"> 3</w:t>
      </w:r>
      <w:r w:rsidR="003F04E9">
        <w:rPr>
          <w:lang w:val="en-GB" w:eastAsia="zh-CN"/>
        </w:rPr>
        <w:t xml:space="preserve"> shows </w:t>
      </w:r>
      <w:r>
        <w:rPr>
          <w:lang w:val="en-GB" w:eastAsia="zh-CN"/>
        </w:rPr>
        <w:t>how the</w:t>
      </w:r>
      <w:r w:rsidR="003F04E9">
        <w:rPr>
          <w:lang w:val="en-GB" w:eastAsia="zh-CN"/>
        </w:rPr>
        <w:t xml:space="preserve"> various </w:t>
      </w:r>
      <w:r w:rsidR="00193562">
        <w:rPr>
          <w:lang w:val="en-GB" w:eastAsia="zh-CN"/>
        </w:rPr>
        <w:t>resources</w:t>
      </w:r>
      <w:r w:rsidR="003F04E9">
        <w:rPr>
          <w:lang w:val="en-GB" w:eastAsia="zh-CN"/>
        </w:rPr>
        <w:t xml:space="preserve"> in the toolkit align with the stages of the national GHG inventory cycle.</w:t>
      </w:r>
    </w:p>
    <w:p w14:paraId="05F44CAB" w14:textId="00AAFA35" w:rsidR="003F04E9" w:rsidRPr="00C2583B" w:rsidRDefault="003F04E9" w:rsidP="003F04E9">
      <w:pPr>
        <w:pStyle w:val="Caption"/>
        <w:rPr>
          <w:rFonts w:asciiTheme="minorHAnsi" w:hAnsiTheme="minorHAnsi"/>
          <w:sz w:val="24"/>
          <w:szCs w:val="24"/>
        </w:rPr>
      </w:pPr>
      <w:r w:rsidRPr="00C2583B">
        <w:rPr>
          <w:rFonts w:asciiTheme="minorHAnsi" w:hAnsiTheme="minorHAnsi"/>
          <w:sz w:val="24"/>
          <w:szCs w:val="24"/>
        </w:rPr>
        <w:t xml:space="preserve">Table </w:t>
      </w:r>
      <w:r w:rsidR="00E31396">
        <w:rPr>
          <w:rFonts w:asciiTheme="minorHAnsi" w:hAnsiTheme="minorHAnsi"/>
          <w:sz w:val="24"/>
          <w:szCs w:val="24"/>
        </w:rPr>
        <w:t>3</w:t>
      </w:r>
      <w:r w:rsidRPr="00C2583B">
        <w:rPr>
          <w:rFonts w:asciiTheme="minorHAnsi" w:hAnsiTheme="minorHAnsi"/>
          <w:sz w:val="24"/>
          <w:szCs w:val="24"/>
        </w:rPr>
        <w:t xml:space="preserve">. Inventory </w:t>
      </w:r>
      <w:r w:rsidR="006A332A">
        <w:rPr>
          <w:rFonts w:asciiTheme="minorHAnsi" w:hAnsiTheme="minorHAnsi"/>
          <w:sz w:val="24"/>
          <w:szCs w:val="24"/>
        </w:rPr>
        <w:t>C</w:t>
      </w:r>
      <w:r w:rsidRPr="00C2583B">
        <w:rPr>
          <w:rFonts w:asciiTheme="minorHAnsi" w:hAnsiTheme="minorHAnsi"/>
          <w:sz w:val="24"/>
          <w:szCs w:val="24"/>
        </w:rPr>
        <w:t xml:space="preserve">ycle </w:t>
      </w:r>
      <w:r w:rsidR="006A332A">
        <w:rPr>
          <w:rFonts w:asciiTheme="minorHAnsi" w:hAnsiTheme="minorHAnsi"/>
          <w:sz w:val="24"/>
          <w:szCs w:val="24"/>
        </w:rPr>
        <w:t>S</w:t>
      </w:r>
      <w:r w:rsidRPr="00C2583B">
        <w:rPr>
          <w:rFonts w:asciiTheme="minorHAnsi" w:hAnsiTheme="minorHAnsi"/>
          <w:sz w:val="24"/>
          <w:szCs w:val="24"/>
        </w:rPr>
        <w:t xml:space="preserve">tages and the </w:t>
      </w:r>
      <w:r w:rsidR="006A332A">
        <w:rPr>
          <w:rFonts w:asciiTheme="minorHAnsi" w:hAnsiTheme="minorHAnsi"/>
          <w:sz w:val="24"/>
          <w:szCs w:val="24"/>
        </w:rPr>
        <w:t>T</w:t>
      </w:r>
      <w:r w:rsidRPr="00C2583B">
        <w:rPr>
          <w:rFonts w:asciiTheme="minorHAnsi" w:hAnsiTheme="minorHAnsi"/>
          <w:sz w:val="24"/>
          <w:szCs w:val="24"/>
        </w:rPr>
        <w:t xml:space="preserve">oolkit </w:t>
      </w:r>
      <w:r w:rsidR="006A332A">
        <w:rPr>
          <w:rFonts w:asciiTheme="minorHAnsi" w:hAnsiTheme="minorHAnsi"/>
          <w:sz w:val="24"/>
          <w:szCs w:val="24"/>
        </w:rPr>
        <w:t>M</w:t>
      </w:r>
      <w:r w:rsidRPr="00C2583B">
        <w:rPr>
          <w:rFonts w:asciiTheme="minorHAnsi" w:hAnsiTheme="minorHAnsi"/>
          <w:sz w:val="24"/>
          <w:szCs w:val="24"/>
        </w:rPr>
        <w:t xml:space="preserve">aterials that </w:t>
      </w:r>
      <w:r w:rsidR="006A332A">
        <w:rPr>
          <w:rFonts w:asciiTheme="minorHAnsi" w:hAnsiTheme="minorHAnsi"/>
          <w:sz w:val="24"/>
          <w:szCs w:val="24"/>
        </w:rPr>
        <w:t>S</w:t>
      </w:r>
      <w:r w:rsidRPr="00C2583B">
        <w:rPr>
          <w:rFonts w:asciiTheme="minorHAnsi" w:hAnsiTheme="minorHAnsi"/>
          <w:sz w:val="24"/>
          <w:szCs w:val="24"/>
        </w:rPr>
        <w:t>upport them</w:t>
      </w:r>
    </w:p>
    <w:tbl>
      <w:tblPr>
        <w:tblStyle w:val="GridTable4-Accent1"/>
        <w:tblW w:w="0" w:type="auto"/>
        <w:tblLook w:val="04A0" w:firstRow="1" w:lastRow="0" w:firstColumn="1" w:lastColumn="0" w:noHBand="0" w:noVBand="1"/>
      </w:tblPr>
      <w:tblGrid>
        <w:gridCol w:w="1975"/>
        <w:gridCol w:w="4577"/>
        <w:gridCol w:w="1440"/>
        <w:gridCol w:w="3690"/>
      </w:tblGrid>
      <w:tr w:rsidR="00C11079" w14:paraId="43BEBE93" w14:textId="6FFAF83F" w:rsidTr="00797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7768ACD" w14:textId="11B694ED" w:rsidR="00C11079" w:rsidRPr="00C11079" w:rsidRDefault="007F43A7" w:rsidP="004C3CA0">
            <w:pPr>
              <w:spacing w:before="120"/>
            </w:pPr>
            <w:r>
              <w:t>Stage</w:t>
            </w:r>
          </w:p>
        </w:tc>
        <w:tc>
          <w:tcPr>
            <w:tcW w:w="4577" w:type="dxa"/>
          </w:tcPr>
          <w:p w14:paraId="69B79AE9" w14:textId="4C6D0A05" w:rsidR="00C11079" w:rsidRPr="00C11079" w:rsidRDefault="00C11079" w:rsidP="004C3CA0">
            <w:pPr>
              <w:spacing w:before="120"/>
              <w:cnfStyle w:val="100000000000" w:firstRow="1" w:lastRow="0" w:firstColumn="0" w:lastColumn="0" w:oddVBand="0" w:evenVBand="0" w:oddHBand="0" w:evenHBand="0" w:firstRowFirstColumn="0" w:firstRowLastColumn="0" w:lastRowFirstColumn="0" w:lastRowLastColumn="0"/>
            </w:pPr>
            <w:r w:rsidRPr="00C11079">
              <w:t>Templates</w:t>
            </w:r>
          </w:p>
        </w:tc>
        <w:tc>
          <w:tcPr>
            <w:tcW w:w="1440" w:type="dxa"/>
          </w:tcPr>
          <w:p w14:paraId="1C54B92A" w14:textId="76AD3A77" w:rsidR="00C11079" w:rsidRPr="00C11079" w:rsidRDefault="00C11079" w:rsidP="004C3CA0">
            <w:pPr>
              <w:spacing w:before="120"/>
              <w:cnfStyle w:val="100000000000" w:firstRow="1" w:lastRow="0" w:firstColumn="0" w:lastColumn="0" w:oddVBand="0" w:evenVBand="0" w:oddHBand="0" w:evenHBand="0" w:firstRowFirstColumn="0" w:firstRowLastColumn="0" w:lastRowFirstColumn="0" w:lastRowLastColumn="0"/>
            </w:pPr>
            <w:r>
              <w:t>Tools</w:t>
            </w:r>
          </w:p>
        </w:tc>
        <w:tc>
          <w:tcPr>
            <w:tcW w:w="3690" w:type="dxa"/>
          </w:tcPr>
          <w:p w14:paraId="0A128BA4" w14:textId="6C2131DF" w:rsidR="00C11079" w:rsidRDefault="00C11079" w:rsidP="004C3CA0">
            <w:pPr>
              <w:spacing w:before="120"/>
              <w:cnfStyle w:val="100000000000" w:firstRow="1" w:lastRow="0" w:firstColumn="0" w:lastColumn="0" w:oddVBand="0" w:evenVBand="0" w:oddHBand="0" w:evenHBand="0" w:firstRowFirstColumn="0" w:firstRowLastColumn="0" w:lastRowFirstColumn="0" w:lastRowLastColumn="0"/>
            </w:pPr>
            <w:r>
              <w:t>Guides</w:t>
            </w:r>
          </w:p>
        </w:tc>
      </w:tr>
      <w:tr w:rsidR="00C11079" w14:paraId="43DD81EC" w14:textId="0483C4B6" w:rsidTr="0079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7A1F6C1" w14:textId="11A49718" w:rsidR="00C11079" w:rsidRPr="00B354A2" w:rsidRDefault="00C11079" w:rsidP="00C11079">
            <w:r w:rsidRPr="00B354A2">
              <w:t>Plan</w:t>
            </w:r>
          </w:p>
        </w:tc>
        <w:tc>
          <w:tcPr>
            <w:tcW w:w="4577" w:type="dxa"/>
          </w:tcPr>
          <w:p w14:paraId="6B840C6C" w14:textId="3A4D7981" w:rsidR="00C11079" w:rsidRPr="004C3CA0" w:rsidRDefault="00F13AEC" w:rsidP="00C94478">
            <w:pPr>
              <w:cnfStyle w:val="000000100000" w:firstRow="0" w:lastRow="0" w:firstColumn="0" w:lastColumn="0" w:oddVBand="0" w:evenVBand="0" w:oddHBand="1" w:evenHBand="0" w:firstRowFirstColumn="0" w:firstRowLastColumn="0" w:lastRowFirstColumn="0" w:lastRowLastColumn="0"/>
            </w:pPr>
            <w:r>
              <w:t>HUT</w:t>
            </w:r>
            <w:r w:rsidR="00870128">
              <w:t xml:space="preserve">, </w:t>
            </w:r>
            <w:r w:rsidR="00C11079">
              <w:t>IA, MDD, Inception Memo, Mo</w:t>
            </w:r>
            <w:r w:rsidR="00862AA6">
              <w:t>C</w:t>
            </w:r>
            <w:r w:rsidR="00C11079">
              <w:t>,</w:t>
            </w:r>
            <w:r w:rsidR="00193562">
              <w:t xml:space="preserve"> </w:t>
            </w:r>
            <w:r w:rsidR="00C11079">
              <w:t>Scope of Work</w:t>
            </w:r>
            <w:r w:rsidR="00B21BD8">
              <w:t>, KCA</w:t>
            </w:r>
            <w:r w:rsidR="00C94478">
              <w:t xml:space="preserve"> and NIIP</w:t>
            </w:r>
            <w:r w:rsidR="00B21BD8">
              <w:t xml:space="preserve"> from previous inventory</w:t>
            </w:r>
          </w:p>
        </w:tc>
        <w:tc>
          <w:tcPr>
            <w:tcW w:w="1440" w:type="dxa"/>
          </w:tcPr>
          <w:p w14:paraId="14310CBB" w14:textId="14A322A6" w:rsidR="00C11079" w:rsidRDefault="00193562" w:rsidP="00C11079">
            <w:pPr>
              <w:cnfStyle w:val="000000100000" w:firstRow="0" w:lastRow="0" w:firstColumn="0" w:lastColumn="0" w:oddVBand="0" w:evenVBand="0" w:oddHBand="1" w:evenHBand="0" w:firstRowFirstColumn="0" w:firstRowLastColumn="0" w:lastRowFirstColumn="0" w:lastRowLastColumn="0"/>
            </w:pPr>
            <w:r>
              <w:t>IPI</w:t>
            </w:r>
          </w:p>
        </w:tc>
        <w:tc>
          <w:tcPr>
            <w:tcW w:w="3690" w:type="dxa"/>
          </w:tcPr>
          <w:p w14:paraId="5D541BDA" w14:textId="77777777" w:rsidR="003F04E9" w:rsidRDefault="003F04E9" w:rsidP="00C11079">
            <w:pPr>
              <w:cnfStyle w:val="000000100000" w:firstRow="0" w:lastRow="0" w:firstColumn="0" w:lastColumn="0" w:oddVBand="0" w:evenVBand="0" w:oddHBand="1" w:evenHBand="0" w:firstRowFirstColumn="0" w:firstRowLastColumn="0" w:lastRowFirstColumn="0" w:lastRowLastColumn="0"/>
            </w:pPr>
            <w:r>
              <w:t xml:space="preserve">NIC Responsibilities and Qualification, </w:t>
            </w:r>
          </w:p>
          <w:p w14:paraId="4E1E1B16" w14:textId="716DF729" w:rsidR="00C11079" w:rsidRDefault="00C11079" w:rsidP="00C11079">
            <w:pPr>
              <w:cnfStyle w:val="000000100000" w:firstRow="0" w:lastRow="0" w:firstColumn="0" w:lastColumn="0" w:oddVBand="0" w:evenVBand="0" w:oddHBand="1" w:evenHBand="0" w:firstRowFirstColumn="0" w:firstRowLastColumn="0" w:lastRowFirstColumn="0" w:lastRowLastColumn="0"/>
            </w:pPr>
            <w:r>
              <w:t>Sector Roles and Responsibilities</w:t>
            </w:r>
          </w:p>
        </w:tc>
      </w:tr>
      <w:tr w:rsidR="00C11079" w14:paraId="48E4AB09" w14:textId="7401F1D5" w:rsidTr="0079769B">
        <w:tc>
          <w:tcPr>
            <w:cnfStyle w:val="001000000000" w:firstRow="0" w:lastRow="0" w:firstColumn="1" w:lastColumn="0" w:oddVBand="0" w:evenVBand="0" w:oddHBand="0" w:evenHBand="0" w:firstRowFirstColumn="0" w:firstRowLastColumn="0" w:lastRowFirstColumn="0" w:lastRowLastColumn="0"/>
            <w:tcW w:w="1975" w:type="dxa"/>
          </w:tcPr>
          <w:p w14:paraId="23CE09C9" w14:textId="09CB7918" w:rsidR="00C11079" w:rsidRPr="00B354A2" w:rsidRDefault="00C11079" w:rsidP="00C11079">
            <w:r w:rsidRPr="00B354A2">
              <w:t>Collect</w:t>
            </w:r>
          </w:p>
        </w:tc>
        <w:tc>
          <w:tcPr>
            <w:tcW w:w="4577" w:type="dxa"/>
          </w:tcPr>
          <w:p w14:paraId="325A2FB3" w14:textId="2596E926" w:rsidR="00C11079" w:rsidRPr="004C3CA0" w:rsidRDefault="00C11079" w:rsidP="0079769B">
            <w:pPr>
              <w:cnfStyle w:val="000000000000" w:firstRow="0" w:lastRow="0" w:firstColumn="0" w:lastColumn="0" w:oddVBand="0" w:evenVBand="0" w:oddHBand="0" w:evenHBand="0" w:firstRowFirstColumn="0" w:firstRowLastColumn="0" w:lastRowFirstColumn="0" w:lastRowLastColumn="0"/>
            </w:pPr>
            <w:r>
              <w:t xml:space="preserve">MDD, </w:t>
            </w:r>
            <w:r w:rsidR="0079769B">
              <w:t xml:space="preserve">QC, </w:t>
            </w:r>
            <w:r>
              <w:t>AS, Confidentiality Agreement</w:t>
            </w:r>
          </w:p>
        </w:tc>
        <w:tc>
          <w:tcPr>
            <w:tcW w:w="1440" w:type="dxa"/>
          </w:tcPr>
          <w:p w14:paraId="0B4011DA" w14:textId="77777777" w:rsidR="00C11079" w:rsidRDefault="00C11079" w:rsidP="00C11079">
            <w:pPr>
              <w:cnfStyle w:val="000000000000" w:firstRow="0" w:lastRow="0" w:firstColumn="0" w:lastColumn="0" w:oddVBand="0" w:evenVBand="0" w:oddHBand="0" w:evenHBand="0" w:firstRowFirstColumn="0" w:firstRowLastColumn="0" w:lastRowFirstColumn="0" w:lastRowLastColumn="0"/>
            </w:pPr>
          </w:p>
        </w:tc>
        <w:tc>
          <w:tcPr>
            <w:tcW w:w="3690" w:type="dxa"/>
          </w:tcPr>
          <w:p w14:paraId="09A7663A" w14:textId="77777777" w:rsidR="00C11079" w:rsidRDefault="00C11079" w:rsidP="00C11079">
            <w:pPr>
              <w:cnfStyle w:val="000000000000" w:firstRow="0" w:lastRow="0" w:firstColumn="0" w:lastColumn="0" w:oddVBand="0" w:evenVBand="0" w:oddHBand="0" w:evenHBand="0" w:firstRowFirstColumn="0" w:firstRowLastColumn="0" w:lastRowFirstColumn="0" w:lastRowLastColumn="0"/>
            </w:pPr>
          </w:p>
        </w:tc>
      </w:tr>
      <w:tr w:rsidR="00C11079" w14:paraId="6FA55290" w14:textId="76097DA2" w:rsidTr="0079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7825D47" w14:textId="353C9CC7" w:rsidR="00C11079" w:rsidRPr="00B354A2" w:rsidRDefault="00C11079" w:rsidP="00C11079">
            <w:r w:rsidRPr="00B354A2">
              <w:t>Estimate</w:t>
            </w:r>
          </w:p>
        </w:tc>
        <w:tc>
          <w:tcPr>
            <w:tcW w:w="4577" w:type="dxa"/>
          </w:tcPr>
          <w:p w14:paraId="2F411A93" w14:textId="5FE76AB4" w:rsidR="00C11079" w:rsidRPr="004C3CA0" w:rsidRDefault="00C11079" w:rsidP="00C11079">
            <w:pPr>
              <w:cnfStyle w:val="000000100000" w:firstRow="0" w:lastRow="0" w:firstColumn="0" w:lastColumn="0" w:oddVBand="0" w:evenVBand="0" w:oddHBand="1" w:evenHBand="0" w:firstRowFirstColumn="0" w:firstRowLastColumn="0" w:lastRowFirstColumn="0" w:lastRowLastColumn="0"/>
            </w:pPr>
            <w:r>
              <w:t>MDD, QA/QC, KCA</w:t>
            </w:r>
          </w:p>
        </w:tc>
        <w:tc>
          <w:tcPr>
            <w:tcW w:w="1440" w:type="dxa"/>
          </w:tcPr>
          <w:p w14:paraId="0702DC13" w14:textId="6331E04E" w:rsidR="00C11079" w:rsidRDefault="00C11079" w:rsidP="0079769B">
            <w:pPr>
              <w:cnfStyle w:val="000000100000" w:firstRow="0" w:lastRow="0" w:firstColumn="0" w:lastColumn="0" w:oddVBand="0" w:evenVBand="0" w:oddHBand="1" w:evenHBand="0" w:firstRowFirstColumn="0" w:firstRowLastColumn="0" w:lastRowFirstColumn="0" w:lastRowLastColumn="0"/>
            </w:pPr>
            <w:r>
              <w:t xml:space="preserve">KCA </w:t>
            </w:r>
            <w:r w:rsidR="0079769B">
              <w:t>Tool</w:t>
            </w:r>
            <w:r>
              <w:t xml:space="preserve"> </w:t>
            </w:r>
          </w:p>
        </w:tc>
        <w:tc>
          <w:tcPr>
            <w:tcW w:w="3690" w:type="dxa"/>
          </w:tcPr>
          <w:p w14:paraId="6525A364" w14:textId="2EB1639C" w:rsidR="00C11079" w:rsidRDefault="00C11079" w:rsidP="00C11079">
            <w:pPr>
              <w:cnfStyle w:val="000000100000" w:firstRow="0" w:lastRow="0" w:firstColumn="0" w:lastColumn="0" w:oddVBand="0" w:evenVBand="0" w:oddHBand="1" w:evenHBand="0" w:firstRowFirstColumn="0" w:firstRowLastColumn="0" w:lastRowFirstColumn="0" w:lastRowLastColumn="0"/>
            </w:pPr>
            <w:r>
              <w:t>KCA Tutorials</w:t>
            </w:r>
          </w:p>
        </w:tc>
      </w:tr>
      <w:tr w:rsidR="00C11079" w14:paraId="13DE59DC" w14:textId="6FFA10C3" w:rsidTr="0079769B">
        <w:tc>
          <w:tcPr>
            <w:cnfStyle w:val="001000000000" w:firstRow="0" w:lastRow="0" w:firstColumn="1" w:lastColumn="0" w:oddVBand="0" w:evenVBand="0" w:oddHBand="0" w:evenHBand="0" w:firstRowFirstColumn="0" w:firstRowLastColumn="0" w:lastRowFirstColumn="0" w:lastRowLastColumn="0"/>
            <w:tcW w:w="1975" w:type="dxa"/>
          </w:tcPr>
          <w:p w14:paraId="345D645C" w14:textId="42622141" w:rsidR="00C11079" w:rsidRPr="00B354A2" w:rsidRDefault="00C11079" w:rsidP="00C11079">
            <w:r w:rsidRPr="00B354A2">
              <w:t>Write</w:t>
            </w:r>
          </w:p>
        </w:tc>
        <w:tc>
          <w:tcPr>
            <w:tcW w:w="4577" w:type="dxa"/>
          </w:tcPr>
          <w:p w14:paraId="7DDFF59C" w14:textId="521DDD66" w:rsidR="00C11079" w:rsidRPr="004C3CA0" w:rsidRDefault="00C11079" w:rsidP="00C11079">
            <w:pPr>
              <w:cnfStyle w:val="000000000000" w:firstRow="0" w:lastRow="0" w:firstColumn="0" w:lastColumn="0" w:oddVBand="0" w:evenVBand="0" w:oddHBand="0" w:evenHBand="0" w:firstRowFirstColumn="0" w:firstRowLastColumn="0" w:lastRowFirstColumn="0" w:lastRowLastColumn="0"/>
            </w:pPr>
            <w:r>
              <w:t>MDD, KCA, AS</w:t>
            </w:r>
          </w:p>
        </w:tc>
        <w:tc>
          <w:tcPr>
            <w:tcW w:w="1440" w:type="dxa"/>
          </w:tcPr>
          <w:p w14:paraId="009B6E42" w14:textId="297B27F4" w:rsidR="00C11079" w:rsidRPr="004C3CA0" w:rsidRDefault="0079769B" w:rsidP="00C11079">
            <w:pPr>
              <w:cnfStyle w:val="000000000000" w:firstRow="0" w:lastRow="0" w:firstColumn="0" w:lastColumn="0" w:oddVBand="0" w:evenVBand="0" w:oddHBand="0" w:evenHBand="0" w:firstRowFirstColumn="0" w:firstRowLastColumn="0" w:lastRowFirstColumn="0" w:lastRowLastColumn="0"/>
            </w:pPr>
            <w:r>
              <w:t>KCA Tool</w:t>
            </w:r>
          </w:p>
        </w:tc>
        <w:tc>
          <w:tcPr>
            <w:tcW w:w="3690" w:type="dxa"/>
          </w:tcPr>
          <w:p w14:paraId="6761F615" w14:textId="66B8D8DE" w:rsidR="00C11079" w:rsidRPr="004C3CA0" w:rsidRDefault="00B354A2" w:rsidP="00C11079">
            <w:pPr>
              <w:cnfStyle w:val="000000000000" w:firstRow="0" w:lastRow="0" w:firstColumn="0" w:lastColumn="0" w:oddVBand="0" w:evenVBand="0" w:oddHBand="0" w:evenHBand="0" w:firstRowFirstColumn="0" w:firstRowLastColumn="0" w:lastRowFirstColumn="0" w:lastRowLastColumn="0"/>
            </w:pPr>
            <w:r>
              <w:t xml:space="preserve">KCA </w:t>
            </w:r>
            <w:r w:rsidR="008C2D10">
              <w:t>T</w:t>
            </w:r>
            <w:r>
              <w:t>utorials</w:t>
            </w:r>
          </w:p>
        </w:tc>
      </w:tr>
      <w:tr w:rsidR="00C11079" w14:paraId="40B69F48" w14:textId="342A7D8A" w:rsidTr="0079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42A0DE2" w14:textId="335FB1FF" w:rsidR="00C11079" w:rsidRPr="00B354A2" w:rsidRDefault="00C11079" w:rsidP="00C11079">
            <w:r w:rsidRPr="00B354A2">
              <w:t>Review</w:t>
            </w:r>
          </w:p>
        </w:tc>
        <w:tc>
          <w:tcPr>
            <w:tcW w:w="4577" w:type="dxa"/>
          </w:tcPr>
          <w:p w14:paraId="6C638372" w14:textId="6FAE87BA" w:rsidR="00C11079" w:rsidRPr="004C3CA0" w:rsidRDefault="00C11079" w:rsidP="00C11079">
            <w:pPr>
              <w:cnfStyle w:val="000000100000" w:firstRow="0" w:lastRow="0" w:firstColumn="0" w:lastColumn="0" w:oddVBand="0" w:evenVBand="0" w:oddHBand="1" w:evenHBand="0" w:firstRowFirstColumn="0" w:firstRowLastColumn="0" w:lastRowFirstColumn="0" w:lastRowLastColumn="0"/>
            </w:pPr>
            <w:r w:rsidRPr="004C3CA0">
              <w:t>QA</w:t>
            </w:r>
            <w:r>
              <w:t>/</w:t>
            </w:r>
            <w:r w:rsidRPr="004C3CA0">
              <w:t>QC</w:t>
            </w:r>
            <w:r w:rsidR="0079769B">
              <w:t>, KCA</w:t>
            </w:r>
          </w:p>
        </w:tc>
        <w:tc>
          <w:tcPr>
            <w:tcW w:w="1440" w:type="dxa"/>
          </w:tcPr>
          <w:p w14:paraId="19AEA4CC" w14:textId="10C40173" w:rsidR="00C11079" w:rsidRPr="004C3CA0" w:rsidRDefault="00193562" w:rsidP="00C11079">
            <w:pPr>
              <w:cnfStyle w:val="000000100000" w:firstRow="0" w:lastRow="0" w:firstColumn="0" w:lastColumn="0" w:oddVBand="0" w:evenVBand="0" w:oddHBand="1" w:evenHBand="0" w:firstRowFirstColumn="0" w:firstRowLastColumn="0" w:lastRowFirstColumn="0" w:lastRowLastColumn="0"/>
            </w:pPr>
            <w:r>
              <w:t>IPI</w:t>
            </w:r>
          </w:p>
        </w:tc>
        <w:tc>
          <w:tcPr>
            <w:tcW w:w="3690" w:type="dxa"/>
          </w:tcPr>
          <w:p w14:paraId="5D1EDEEA" w14:textId="74B88A9D" w:rsidR="00C11079" w:rsidRPr="004C3CA0" w:rsidRDefault="00C11079" w:rsidP="00C11079">
            <w:pPr>
              <w:cnfStyle w:val="000000100000" w:firstRow="0" w:lastRow="0" w:firstColumn="0" w:lastColumn="0" w:oddVBand="0" w:evenVBand="0" w:oddHBand="1" w:evenHBand="0" w:firstRowFirstColumn="0" w:firstRowLastColumn="0" w:lastRowFirstColumn="0" w:lastRowLastColumn="0"/>
            </w:pPr>
          </w:p>
        </w:tc>
      </w:tr>
      <w:tr w:rsidR="00C11079" w14:paraId="220AB07D" w14:textId="045A914D" w:rsidTr="0079769B">
        <w:tc>
          <w:tcPr>
            <w:cnfStyle w:val="001000000000" w:firstRow="0" w:lastRow="0" w:firstColumn="1" w:lastColumn="0" w:oddVBand="0" w:evenVBand="0" w:oddHBand="0" w:evenHBand="0" w:firstRowFirstColumn="0" w:firstRowLastColumn="0" w:lastRowFirstColumn="0" w:lastRowLastColumn="0"/>
            <w:tcW w:w="1975" w:type="dxa"/>
          </w:tcPr>
          <w:p w14:paraId="3909522A" w14:textId="4A7278B1" w:rsidR="00C11079" w:rsidRPr="00B354A2" w:rsidRDefault="00C11079" w:rsidP="00C11079">
            <w:r w:rsidRPr="00B354A2">
              <w:t>Finalize</w:t>
            </w:r>
            <w:r w:rsidR="0079769B">
              <w:t xml:space="preserve"> and report</w:t>
            </w:r>
          </w:p>
        </w:tc>
        <w:tc>
          <w:tcPr>
            <w:tcW w:w="4577" w:type="dxa"/>
          </w:tcPr>
          <w:p w14:paraId="35A1FA43" w14:textId="72F6B860" w:rsidR="00C11079" w:rsidRPr="004C3CA0" w:rsidRDefault="00C11079" w:rsidP="00C11079">
            <w:pPr>
              <w:cnfStyle w:val="000000000000" w:firstRow="0" w:lastRow="0" w:firstColumn="0" w:lastColumn="0" w:oddVBand="0" w:evenVBand="0" w:oddHBand="0" w:evenHBand="0" w:firstRowFirstColumn="0" w:firstRowLastColumn="0" w:lastRowFirstColumn="0" w:lastRowLastColumn="0"/>
            </w:pPr>
            <w:r>
              <w:t>NIIP, QA/QC</w:t>
            </w:r>
          </w:p>
        </w:tc>
        <w:tc>
          <w:tcPr>
            <w:tcW w:w="1440" w:type="dxa"/>
          </w:tcPr>
          <w:p w14:paraId="5EE6D7A6" w14:textId="77777777" w:rsidR="00C11079" w:rsidRPr="004C3CA0" w:rsidRDefault="00C11079" w:rsidP="00C11079">
            <w:pPr>
              <w:cnfStyle w:val="000000000000" w:firstRow="0" w:lastRow="0" w:firstColumn="0" w:lastColumn="0" w:oddVBand="0" w:evenVBand="0" w:oddHBand="0" w:evenHBand="0" w:firstRowFirstColumn="0" w:firstRowLastColumn="0" w:lastRowFirstColumn="0" w:lastRowLastColumn="0"/>
            </w:pPr>
          </w:p>
        </w:tc>
        <w:tc>
          <w:tcPr>
            <w:tcW w:w="3690" w:type="dxa"/>
          </w:tcPr>
          <w:p w14:paraId="2184E5BB" w14:textId="77777777" w:rsidR="00C11079" w:rsidRPr="004C3CA0" w:rsidRDefault="00C11079" w:rsidP="00C11079">
            <w:pPr>
              <w:cnfStyle w:val="000000000000" w:firstRow="0" w:lastRow="0" w:firstColumn="0" w:lastColumn="0" w:oddVBand="0" w:evenVBand="0" w:oddHBand="0" w:evenHBand="0" w:firstRowFirstColumn="0" w:firstRowLastColumn="0" w:lastRowFirstColumn="0" w:lastRowLastColumn="0"/>
            </w:pPr>
          </w:p>
        </w:tc>
      </w:tr>
      <w:tr w:rsidR="00C11079" w14:paraId="33F8EB17" w14:textId="026DF79A" w:rsidTr="00797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F215E37" w14:textId="06EB3565" w:rsidR="00C11079" w:rsidRPr="00B21BD8" w:rsidRDefault="00C11079" w:rsidP="00C11079">
            <w:r w:rsidRPr="00B354A2">
              <w:t xml:space="preserve">Archive </w:t>
            </w:r>
          </w:p>
        </w:tc>
        <w:tc>
          <w:tcPr>
            <w:tcW w:w="4577" w:type="dxa"/>
          </w:tcPr>
          <w:p w14:paraId="0E281D4E" w14:textId="4447D042" w:rsidR="00C11079" w:rsidRPr="004C3CA0" w:rsidRDefault="00C11079" w:rsidP="00C11079">
            <w:pPr>
              <w:cnfStyle w:val="000000100000" w:firstRow="0" w:lastRow="0" w:firstColumn="0" w:lastColumn="0" w:oddVBand="0" w:evenVBand="0" w:oddHBand="1" w:evenHBand="0" w:firstRowFirstColumn="0" w:firstRowLastColumn="0" w:lastRowFirstColumn="0" w:lastRowLastColumn="0"/>
            </w:pPr>
            <w:r w:rsidRPr="004C3CA0">
              <w:t>QA/QC</w:t>
            </w:r>
            <w:r>
              <w:t xml:space="preserve">, </w:t>
            </w:r>
            <w:r w:rsidRPr="004C3CA0">
              <w:t>AS</w:t>
            </w:r>
          </w:p>
        </w:tc>
        <w:tc>
          <w:tcPr>
            <w:tcW w:w="1440" w:type="dxa"/>
          </w:tcPr>
          <w:p w14:paraId="6D453C9E" w14:textId="032C35A3" w:rsidR="00C11079" w:rsidRPr="004C3CA0" w:rsidRDefault="00193562" w:rsidP="00C11079">
            <w:pPr>
              <w:cnfStyle w:val="000000100000" w:firstRow="0" w:lastRow="0" w:firstColumn="0" w:lastColumn="0" w:oddVBand="0" w:evenVBand="0" w:oddHBand="1" w:evenHBand="0" w:firstRowFirstColumn="0" w:firstRowLastColumn="0" w:lastRowFirstColumn="0" w:lastRowLastColumn="0"/>
            </w:pPr>
            <w:r>
              <w:t>IPI</w:t>
            </w:r>
          </w:p>
        </w:tc>
        <w:tc>
          <w:tcPr>
            <w:tcW w:w="3690" w:type="dxa"/>
          </w:tcPr>
          <w:p w14:paraId="4FC0790E" w14:textId="77777777" w:rsidR="00C11079" w:rsidRPr="004C3CA0" w:rsidRDefault="00C11079" w:rsidP="00C11079">
            <w:pPr>
              <w:cnfStyle w:val="000000100000" w:firstRow="0" w:lastRow="0" w:firstColumn="0" w:lastColumn="0" w:oddVBand="0" w:evenVBand="0" w:oddHBand="1" w:evenHBand="0" w:firstRowFirstColumn="0" w:firstRowLastColumn="0" w:lastRowFirstColumn="0" w:lastRowLastColumn="0"/>
            </w:pPr>
          </w:p>
        </w:tc>
      </w:tr>
    </w:tbl>
    <w:p w14:paraId="1169BF55" w14:textId="7D0140B5" w:rsidR="00794F1F" w:rsidRDefault="00794F1F" w:rsidP="0079769B">
      <w:pPr>
        <w:pStyle w:val="Caption"/>
      </w:pPr>
    </w:p>
    <w:sectPr w:rsidR="00794F1F" w:rsidSect="00CC5372">
      <w:footerReference w:type="default" r:id="rId21"/>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0F8BF" w14:textId="77777777" w:rsidR="00ED0877" w:rsidRDefault="00ED0877" w:rsidP="007D3DB0">
      <w:pPr>
        <w:spacing w:after="0" w:line="240" w:lineRule="auto"/>
      </w:pPr>
      <w:r>
        <w:separator/>
      </w:r>
    </w:p>
  </w:endnote>
  <w:endnote w:type="continuationSeparator" w:id="0">
    <w:p w14:paraId="1B811AE2" w14:textId="77777777" w:rsidR="00ED0877" w:rsidRDefault="00ED0877" w:rsidP="007D3DB0">
      <w:pPr>
        <w:spacing w:after="0" w:line="240" w:lineRule="auto"/>
      </w:pPr>
      <w:r>
        <w:continuationSeparator/>
      </w:r>
    </w:p>
  </w:endnote>
  <w:endnote w:type="continuationNotice" w:id="1">
    <w:p w14:paraId="43C3CC58" w14:textId="77777777" w:rsidR="006120F5" w:rsidRDefault="006120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FE3B6" w14:textId="2F95BF40" w:rsidR="00ED0877" w:rsidRDefault="00424493" w:rsidP="006357F0">
    <w:pPr>
      <w:pStyle w:val="Footer"/>
      <w:jc w:val="right"/>
      <w:rPr>
        <w:noProof/>
      </w:rPr>
    </w:pPr>
    <w:sdt>
      <w:sdtPr>
        <w:id w:val="-1033488758"/>
        <w:docPartObj>
          <w:docPartGallery w:val="Page Numbers (Bottom of Page)"/>
          <w:docPartUnique/>
        </w:docPartObj>
      </w:sdtPr>
      <w:sdtEndPr>
        <w:rPr>
          <w:noProof/>
          <w:highlight w:val="yellow"/>
        </w:rPr>
      </w:sdtEndPr>
      <w:sdtContent>
        <w:r w:rsidR="00ED0877">
          <w:t xml:space="preserve">Introduction - </w:t>
        </w:r>
        <w:r w:rsidR="00ED0877">
          <w:fldChar w:fldCharType="begin"/>
        </w:r>
        <w:r w:rsidR="00ED0877">
          <w:instrText xml:space="preserve"> PAGE   \* MERGEFORMAT </w:instrText>
        </w:r>
        <w:r w:rsidR="00ED0877">
          <w:fldChar w:fldCharType="separate"/>
        </w:r>
        <w:r w:rsidR="00ED0877">
          <w:rPr>
            <w:noProof/>
          </w:rPr>
          <w:t>3</w:t>
        </w:r>
        <w:r w:rsidR="00ED0877">
          <w:rPr>
            <w:noProof/>
          </w:rPr>
          <w:fldChar w:fldCharType="end"/>
        </w:r>
      </w:sdtContent>
    </w:sdt>
    <w:r w:rsidR="006357F0">
      <w:rPr>
        <w:noProof/>
      </w:rPr>
      <w:tab/>
      <w:t xml:space="preserve">                                                                    </w:t>
    </w:r>
    <w:r w:rsidR="00D5781B">
      <w:t>Updated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08BB2" w14:textId="77777777" w:rsidR="00ED0877" w:rsidRDefault="00ED0877" w:rsidP="007D3DB0">
      <w:pPr>
        <w:spacing w:after="0" w:line="240" w:lineRule="auto"/>
      </w:pPr>
      <w:r>
        <w:separator/>
      </w:r>
    </w:p>
  </w:footnote>
  <w:footnote w:type="continuationSeparator" w:id="0">
    <w:p w14:paraId="7B5338B6" w14:textId="77777777" w:rsidR="00ED0877" w:rsidRDefault="00ED0877" w:rsidP="007D3DB0">
      <w:pPr>
        <w:spacing w:after="0" w:line="240" w:lineRule="auto"/>
      </w:pPr>
      <w:r>
        <w:continuationSeparator/>
      </w:r>
    </w:p>
  </w:footnote>
  <w:footnote w:type="continuationNotice" w:id="1">
    <w:p w14:paraId="138EF164" w14:textId="77777777" w:rsidR="006120F5" w:rsidRDefault="006120F5">
      <w:pPr>
        <w:spacing w:after="0" w:line="240" w:lineRule="auto"/>
      </w:pPr>
    </w:p>
  </w:footnote>
  <w:footnote w:id="2">
    <w:p w14:paraId="0EEBA398" w14:textId="306FBBB9" w:rsidR="00ED0877" w:rsidRDefault="00ED0877">
      <w:pPr>
        <w:pStyle w:val="FootnoteText"/>
      </w:pPr>
      <w:r>
        <w:rPr>
          <w:rStyle w:val="FootnoteReference"/>
        </w:rPr>
        <w:footnoteRef/>
      </w:r>
      <w:r>
        <w:t xml:space="preserve"> </w:t>
      </w:r>
      <w:hyperlink r:id="rId1" w:history="1">
        <w:r w:rsidRPr="00A27496">
          <w:rPr>
            <w:rStyle w:val="Hyperlink"/>
          </w:rPr>
          <w:t>UNDP’s Managing the National GHG Inventory Process (2005)</w:t>
        </w:r>
      </w:hyperlink>
      <w:r>
        <w:rPr>
          <w:rStyle w:val="Hyperlink"/>
        </w:rPr>
        <w:t xml:space="preserve">; </w:t>
      </w:r>
      <w:hyperlink r:id="rId2" w:history="1">
        <w:r w:rsidRPr="007D3DB0">
          <w:rPr>
            <w:rStyle w:val="Hyperlink"/>
          </w:rPr>
          <w:t>UNFCCC Consultative Group of Experts Handbook on Building Sustainable National GHG Inventory Management Systems</w:t>
        </w:r>
      </w:hyperlink>
      <w:r w:rsidR="00F9687A">
        <w:t>.</w:t>
      </w:r>
      <w:r>
        <w:t xml:space="preserve"> </w:t>
      </w:r>
    </w:p>
  </w:footnote>
  <w:footnote w:id="3">
    <w:p w14:paraId="66851EF5" w14:textId="1A89BD02" w:rsidR="00ED0877" w:rsidRPr="00B44FA6" w:rsidRDefault="00ED0877" w:rsidP="00B44FA6">
      <w:pPr>
        <w:pStyle w:val="FootnoteText"/>
      </w:pPr>
      <w:r>
        <w:rPr>
          <w:rStyle w:val="FootnoteReference"/>
        </w:rPr>
        <w:footnoteRef/>
      </w:r>
      <w:r>
        <w:t xml:space="preserve"> Flexibility is given to Least Developed C</w:t>
      </w:r>
      <w:r w:rsidRPr="00B44FA6">
        <w:t>ountr</w:t>
      </w:r>
      <w:r>
        <w:t>ies (LDCs) and Small Island D</w:t>
      </w:r>
      <w:r w:rsidRPr="00B44FA6">
        <w:t>eveloping States (SIDS)</w:t>
      </w:r>
      <w:r>
        <w:t>.</w:t>
      </w:r>
    </w:p>
  </w:footnote>
  <w:footnote w:id="4">
    <w:p w14:paraId="06F36A92" w14:textId="013A93F9" w:rsidR="00ED0877" w:rsidRDefault="00ED0877" w:rsidP="00805628">
      <w:pPr>
        <w:pStyle w:val="FootnoteText"/>
      </w:pPr>
      <w:r>
        <w:rPr>
          <w:rStyle w:val="FootnoteReference"/>
        </w:rPr>
        <w:footnoteRef/>
      </w:r>
      <w:r>
        <w:t xml:space="preserve"> “QA” refers to a planned system of review and sometimes audit procedures that personnel not involved in the inventory development process conduct. “QC” is a system of planned, routine technical activities the inventory development team implements to measure and control the quality of the inventory as it is being prepared.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46E6D"/>
    <w:multiLevelType w:val="hybridMultilevel"/>
    <w:tmpl w:val="492475CC"/>
    <w:lvl w:ilvl="0" w:tplc="C50E5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31875"/>
    <w:multiLevelType w:val="hybridMultilevel"/>
    <w:tmpl w:val="DFB6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985976"/>
    <w:multiLevelType w:val="hybridMultilevel"/>
    <w:tmpl w:val="78C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81077"/>
    <w:multiLevelType w:val="hybridMultilevel"/>
    <w:tmpl w:val="C26E7CE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B6E5A"/>
    <w:multiLevelType w:val="hybridMultilevel"/>
    <w:tmpl w:val="9FD05540"/>
    <w:lvl w:ilvl="0" w:tplc="05BA227E">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1A477C"/>
    <w:multiLevelType w:val="hybridMultilevel"/>
    <w:tmpl w:val="7AA48C12"/>
    <w:lvl w:ilvl="0" w:tplc="C50E5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5C2BD0"/>
    <w:multiLevelType w:val="hybridMultilevel"/>
    <w:tmpl w:val="13C82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B9E3B04"/>
    <w:multiLevelType w:val="hybridMultilevel"/>
    <w:tmpl w:val="8F9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6A6ADA"/>
    <w:multiLevelType w:val="hybridMultilevel"/>
    <w:tmpl w:val="042EA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9A"/>
    <w:rsid w:val="00024DAA"/>
    <w:rsid w:val="0002742D"/>
    <w:rsid w:val="0006083A"/>
    <w:rsid w:val="00073825"/>
    <w:rsid w:val="00073F9D"/>
    <w:rsid w:val="000805EB"/>
    <w:rsid w:val="0008268A"/>
    <w:rsid w:val="000A2D5E"/>
    <w:rsid w:val="000B7F8E"/>
    <w:rsid w:val="000C3227"/>
    <w:rsid w:val="000C466D"/>
    <w:rsid w:val="000D2785"/>
    <w:rsid w:val="000D38EC"/>
    <w:rsid w:val="000D568D"/>
    <w:rsid w:val="000F1288"/>
    <w:rsid w:val="000F569E"/>
    <w:rsid w:val="00100B9B"/>
    <w:rsid w:val="00122812"/>
    <w:rsid w:val="00131D85"/>
    <w:rsid w:val="0015063A"/>
    <w:rsid w:val="0015120E"/>
    <w:rsid w:val="00160524"/>
    <w:rsid w:val="00172826"/>
    <w:rsid w:val="0017282B"/>
    <w:rsid w:val="00172B5F"/>
    <w:rsid w:val="00175E71"/>
    <w:rsid w:val="001844F4"/>
    <w:rsid w:val="0018592D"/>
    <w:rsid w:val="00190DBB"/>
    <w:rsid w:val="0019118F"/>
    <w:rsid w:val="001927DE"/>
    <w:rsid w:val="00193562"/>
    <w:rsid w:val="001A2CAD"/>
    <w:rsid w:val="001C1448"/>
    <w:rsid w:val="001D1AB8"/>
    <w:rsid w:val="001D62FC"/>
    <w:rsid w:val="001E2177"/>
    <w:rsid w:val="001E7740"/>
    <w:rsid w:val="001F533D"/>
    <w:rsid w:val="0020013A"/>
    <w:rsid w:val="00200D83"/>
    <w:rsid w:val="002075DF"/>
    <w:rsid w:val="002113C6"/>
    <w:rsid w:val="00213F91"/>
    <w:rsid w:val="0021727F"/>
    <w:rsid w:val="00223DA1"/>
    <w:rsid w:val="0022769A"/>
    <w:rsid w:val="0023072C"/>
    <w:rsid w:val="002350D9"/>
    <w:rsid w:val="002425CD"/>
    <w:rsid w:val="00245C67"/>
    <w:rsid w:val="00253553"/>
    <w:rsid w:val="002827BD"/>
    <w:rsid w:val="002911C0"/>
    <w:rsid w:val="002936ED"/>
    <w:rsid w:val="002A24DE"/>
    <w:rsid w:val="002B0C0A"/>
    <w:rsid w:val="002D041B"/>
    <w:rsid w:val="002D3D0A"/>
    <w:rsid w:val="002F080B"/>
    <w:rsid w:val="002F0B78"/>
    <w:rsid w:val="002F33DB"/>
    <w:rsid w:val="002F6D56"/>
    <w:rsid w:val="00307B63"/>
    <w:rsid w:val="00323F82"/>
    <w:rsid w:val="00350BBF"/>
    <w:rsid w:val="00352846"/>
    <w:rsid w:val="00366165"/>
    <w:rsid w:val="00383CB5"/>
    <w:rsid w:val="003940A7"/>
    <w:rsid w:val="003C5E0E"/>
    <w:rsid w:val="003D39C6"/>
    <w:rsid w:val="003D3A46"/>
    <w:rsid w:val="003F03DF"/>
    <w:rsid w:val="003F04E9"/>
    <w:rsid w:val="003F5A22"/>
    <w:rsid w:val="003F73E8"/>
    <w:rsid w:val="00401DEA"/>
    <w:rsid w:val="00405350"/>
    <w:rsid w:val="00414DBF"/>
    <w:rsid w:val="00424493"/>
    <w:rsid w:val="0044740C"/>
    <w:rsid w:val="0045714F"/>
    <w:rsid w:val="0046110D"/>
    <w:rsid w:val="00466EDA"/>
    <w:rsid w:val="00492A6C"/>
    <w:rsid w:val="00496187"/>
    <w:rsid w:val="004B44B2"/>
    <w:rsid w:val="004C148B"/>
    <w:rsid w:val="004C3CA0"/>
    <w:rsid w:val="004C61EE"/>
    <w:rsid w:val="004D75BA"/>
    <w:rsid w:val="004D7E58"/>
    <w:rsid w:val="004E076F"/>
    <w:rsid w:val="004E1B36"/>
    <w:rsid w:val="004E26F8"/>
    <w:rsid w:val="004E6DFD"/>
    <w:rsid w:val="004F44C7"/>
    <w:rsid w:val="00513D9F"/>
    <w:rsid w:val="0052438E"/>
    <w:rsid w:val="005338FE"/>
    <w:rsid w:val="00543E89"/>
    <w:rsid w:val="0054455C"/>
    <w:rsid w:val="00545360"/>
    <w:rsid w:val="00545C91"/>
    <w:rsid w:val="00553FB5"/>
    <w:rsid w:val="00563EC4"/>
    <w:rsid w:val="00564DF5"/>
    <w:rsid w:val="00575087"/>
    <w:rsid w:val="005760AA"/>
    <w:rsid w:val="00581A87"/>
    <w:rsid w:val="00585FC7"/>
    <w:rsid w:val="00592317"/>
    <w:rsid w:val="00593088"/>
    <w:rsid w:val="005A5C67"/>
    <w:rsid w:val="005D018F"/>
    <w:rsid w:val="005E0DDC"/>
    <w:rsid w:val="005E7484"/>
    <w:rsid w:val="00601E70"/>
    <w:rsid w:val="006120F5"/>
    <w:rsid w:val="00614844"/>
    <w:rsid w:val="00614DE1"/>
    <w:rsid w:val="0062776D"/>
    <w:rsid w:val="006357F0"/>
    <w:rsid w:val="0065478A"/>
    <w:rsid w:val="00665A18"/>
    <w:rsid w:val="00670C9F"/>
    <w:rsid w:val="0068114B"/>
    <w:rsid w:val="0068468B"/>
    <w:rsid w:val="00696593"/>
    <w:rsid w:val="006973E4"/>
    <w:rsid w:val="006A332A"/>
    <w:rsid w:val="006B33A3"/>
    <w:rsid w:val="006E6882"/>
    <w:rsid w:val="006F47F8"/>
    <w:rsid w:val="006F7C71"/>
    <w:rsid w:val="00702532"/>
    <w:rsid w:val="00704936"/>
    <w:rsid w:val="00711140"/>
    <w:rsid w:val="007268AA"/>
    <w:rsid w:val="0073453D"/>
    <w:rsid w:val="00742C2B"/>
    <w:rsid w:val="00753FF9"/>
    <w:rsid w:val="00774F2C"/>
    <w:rsid w:val="0079187A"/>
    <w:rsid w:val="00791D09"/>
    <w:rsid w:val="0079493C"/>
    <w:rsid w:val="00794F1F"/>
    <w:rsid w:val="0079769B"/>
    <w:rsid w:val="00797B47"/>
    <w:rsid w:val="007A23D9"/>
    <w:rsid w:val="007B545F"/>
    <w:rsid w:val="007D1F84"/>
    <w:rsid w:val="007D3DB0"/>
    <w:rsid w:val="007E29F8"/>
    <w:rsid w:val="007F43A7"/>
    <w:rsid w:val="007F5BF4"/>
    <w:rsid w:val="007F61E6"/>
    <w:rsid w:val="007F66C2"/>
    <w:rsid w:val="008001D0"/>
    <w:rsid w:val="00805628"/>
    <w:rsid w:val="00824DA1"/>
    <w:rsid w:val="0084194A"/>
    <w:rsid w:val="00862AA6"/>
    <w:rsid w:val="00870128"/>
    <w:rsid w:val="00877A80"/>
    <w:rsid w:val="0088156C"/>
    <w:rsid w:val="00885A44"/>
    <w:rsid w:val="00896979"/>
    <w:rsid w:val="008A485D"/>
    <w:rsid w:val="008C1A56"/>
    <w:rsid w:val="008C1A71"/>
    <w:rsid w:val="008C2D10"/>
    <w:rsid w:val="008C44F4"/>
    <w:rsid w:val="008C76B4"/>
    <w:rsid w:val="008D5035"/>
    <w:rsid w:val="008E4B10"/>
    <w:rsid w:val="00902673"/>
    <w:rsid w:val="00902693"/>
    <w:rsid w:val="00907CA9"/>
    <w:rsid w:val="00914937"/>
    <w:rsid w:val="00914E0F"/>
    <w:rsid w:val="009245DA"/>
    <w:rsid w:val="00932C07"/>
    <w:rsid w:val="00942BA0"/>
    <w:rsid w:val="009445D4"/>
    <w:rsid w:val="009603FB"/>
    <w:rsid w:val="00964177"/>
    <w:rsid w:val="00984CC9"/>
    <w:rsid w:val="009928FC"/>
    <w:rsid w:val="009A2939"/>
    <w:rsid w:val="009C0D9A"/>
    <w:rsid w:val="009C1F34"/>
    <w:rsid w:val="009C4876"/>
    <w:rsid w:val="009C67FF"/>
    <w:rsid w:val="009F1B99"/>
    <w:rsid w:val="00A00F37"/>
    <w:rsid w:val="00A02B5D"/>
    <w:rsid w:val="00A02E15"/>
    <w:rsid w:val="00A254C4"/>
    <w:rsid w:val="00A27496"/>
    <w:rsid w:val="00A33005"/>
    <w:rsid w:val="00A36FCA"/>
    <w:rsid w:val="00A62535"/>
    <w:rsid w:val="00A63697"/>
    <w:rsid w:val="00A63E3E"/>
    <w:rsid w:val="00AB2FAE"/>
    <w:rsid w:val="00AC2A21"/>
    <w:rsid w:val="00AE649E"/>
    <w:rsid w:val="00B16CE0"/>
    <w:rsid w:val="00B21BD8"/>
    <w:rsid w:val="00B259E8"/>
    <w:rsid w:val="00B31ABC"/>
    <w:rsid w:val="00B354A2"/>
    <w:rsid w:val="00B44FA6"/>
    <w:rsid w:val="00B568CB"/>
    <w:rsid w:val="00B64700"/>
    <w:rsid w:val="00B7581C"/>
    <w:rsid w:val="00B911C8"/>
    <w:rsid w:val="00BA0EC5"/>
    <w:rsid w:val="00BB49FE"/>
    <w:rsid w:val="00BC3A71"/>
    <w:rsid w:val="00BC53F7"/>
    <w:rsid w:val="00BF2182"/>
    <w:rsid w:val="00C11079"/>
    <w:rsid w:val="00C1550A"/>
    <w:rsid w:val="00C23E16"/>
    <w:rsid w:val="00C2583B"/>
    <w:rsid w:val="00C3090D"/>
    <w:rsid w:val="00C3755E"/>
    <w:rsid w:val="00C663FB"/>
    <w:rsid w:val="00C67F21"/>
    <w:rsid w:val="00C70E06"/>
    <w:rsid w:val="00C72BE2"/>
    <w:rsid w:val="00C91194"/>
    <w:rsid w:val="00C94478"/>
    <w:rsid w:val="00C948C8"/>
    <w:rsid w:val="00CB01DE"/>
    <w:rsid w:val="00CB1E22"/>
    <w:rsid w:val="00CC5372"/>
    <w:rsid w:val="00CD4B39"/>
    <w:rsid w:val="00CD73F8"/>
    <w:rsid w:val="00CE0909"/>
    <w:rsid w:val="00CE140E"/>
    <w:rsid w:val="00D14632"/>
    <w:rsid w:val="00D23917"/>
    <w:rsid w:val="00D51A39"/>
    <w:rsid w:val="00D5781B"/>
    <w:rsid w:val="00D643BE"/>
    <w:rsid w:val="00D761F2"/>
    <w:rsid w:val="00D81374"/>
    <w:rsid w:val="00D84168"/>
    <w:rsid w:val="00D91C66"/>
    <w:rsid w:val="00DA7136"/>
    <w:rsid w:val="00DB1122"/>
    <w:rsid w:val="00DC4D2D"/>
    <w:rsid w:val="00DC6135"/>
    <w:rsid w:val="00DE369C"/>
    <w:rsid w:val="00DE6FF2"/>
    <w:rsid w:val="00DF795E"/>
    <w:rsid w:val="00E04737"/>
    <w:rsid w:val="00E077D6"/>
    <w:rsid w:val="00E30B1C"/>
    <w:rsid w:val="00E31396"/>
    <w:rsid w:val="00E34228"/>
    <w:rsid w:val="00E37CBE"/>
    <w:rsid w:val="00E4194D"/>
    <w:rsid w:val="00E423AF"/>
    <w:rsid w:val="00E51F64"/>
    <w:rsid w:val="00E56AE3"/>
    <w:rsid w:val="00E63253"/>
    <w:rsid w:val="00E64283"/>
    <w:rsid w:val="00E72C0D"/>
    <w:rsid w:val="00E73EF5"/>
    <w:rsid w:val="00E816EB"/>
    <w:rsid w:val="00E83223"/>
    <w:rsid w:val="00E92072"/>
    <w:rsid w:val="00ED0877"/>
    <w:rsid w:val="00ED60A8"/>
    <w:rsid w:val="00EF1DB9"/>
    <w:rsid w:val="00EF4533"/>
    <w:rsid w:val="00F00610"/>
    <w:rsid w:val="00F01E4B"/>
    <w:rsid w:val="00F024B1"/>
    <w:rsid w:val="00F13AEC"/>
    <w:rsid w:val="00F26C49"/>
    <w:rsid w:val="00F27121"/>
    <w:rsid w:val="00F3571D"/>
    <w:rsid w:val="00F553C0"/>
    <w:rsid w:val="00F747A5"/>
    <w:rsid w:val="00F85FC1"/>
    <w:rsid w:val="00F9687A"/>
    <w:rsid w:val="00FA6273"/>
    <w:rsid w:val="00FB6C54"/>
    <w:rsid w:val="00FC3009"/>
    <w:rsid w:val="00FC6170"/>
    <w:rsid w:val="00FE0514"/>
    <w:rsid w:val="00FE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11A78F"/>
  <w15:chartTrackingRefBased/>
  <w15:docId w15:val="{3598B1DE-C9A6-4EEE-B071-15C98A80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D10"/>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C4D2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DC4D2D"/>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C0D9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C0D9A"/>
    <w:rPr>
      <w:rFonts w:asciiTheme="majorHAnsi" w:eastAsiaTheme="majorEastAsia" w:hAnsiTheme="majorHAnsi" w:cstheme="majorBidi"/>
      <w:color w:val="323E4F" w:themeColor="text2" w:themeShade="BF"/>
      <w:spacing w:val="5"/>
      <w:kern w:val="28"/>
      <w:sz w:val="52"/>
      <w:szCs w:val="52"/>
    </w:rPr>
  </w:style>
  <w:style w:type="paragraph" w:styleId="FootnoteText">
    <w:name w:val="footnote text"/>
    <w:basedOn w:val="Normal"/>
    <w:link w:val="FootnoteTextChar"/>
    <w:uiPriority w:val="99"/>
    <w:semiHidden/>
    <w:unhideWhenUsed/>
    <w:rsid w:val="007D3D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B0"/>
    <w:rPr>
      <w:sz w:val="20"/>
      <w:szCs w:val="20"/>
    </w:rPr>
  </w:style>
  <w:style w:type="character" w:styleId="FootnoteReference">
    <w:name w:val="footnote reference"/>
    <w:basedOn w:val="DefaultParagraphFont"/>
    <w:uiPriority w:val="99"/>
    <w:semiHidden/>
    <w:unhideWhenUsed/>
    <w:rsid w:val="007D3DB0"/>
    <w:rPr>
      <w:vertAlign w:val="superscript"/>
    </w:rPr>
  </w:style>
  <w:style w:type="character" w:styleId="Hyperlink">
    <w:name w:val="Hyperlink"/>
    <w:basedOn w:val="DefaultParagraphFont"/>
    <w:uiPriority w:val="99"/>
    <w:unhideWhenUsed/>
    <w:rsid w:val="007D3DB0"/>
    <w:rPr>
      <w:color w:val="0563C1" w:themeColor="hyperlink"/>
      <w:u w:val="single"/>
    </w:rPr>
  </w:style>
  <w:style w:type="character" w:customStyle="1" w:styleId="UnresolvedMention1">
    <w:name w:val="Unresolved Mention1"/>
    <w:basedOn w:val="DefaultParagraphFont"/>
    <w:uiPriority w:val="99"/>
    <w:semiHidden/>
    <w:unhideWhenUsed/>
    <w:rsid w:val="007D3DB0"/>
    <w:rPr>
      <w:color w:val="808080"/>
      <w:shd w:val="clear" w:color="auto" w:fill="E6E6E6"/>
    </w:rPr>
  </w:style>
  <w:style w:type="table" w:styleId="TableGrid">
    <w:name w:val="Table Grid"/>
    <w:basedOn w:val="TableNormal"/>
    <w:uiPriority w:val="39"/>
    <w:rsid w:val="00457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45714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45714F"/>
    <w:pPr>
      <w:ind w:left="720"/>
      <w:contextualSpacing/>
    </w:pPr>
  </w:style>
  <w:style w:type="character" w:styleId="CommentReference">
    <w:name w:val="annotation reference"/>
    <w:basedOn w:val="DefaultParagraphFont"/>
    <w:uiPriority w:val="99"/>
    <w:unhideWhenUsed/>
    <w:rsid w:val="0045714F"/>
    <w:rPr>
      <w:sz w:val="16"/>
      <w:szCs w:val="16"/>
    </w:rPr>
  </w:style>
  <w:style w:type="paragraph" w:styleId="CommentText">
    <w:name w:val="annotation text"/>
    <w:basedOn w:val="Normal"/>
    <w:link w:val="CommentTextChar"/>
    <w:uiPriority w:val="99"/>
    <w:unhideWhenUsed/>
    <w:rsid w:val="0045714F"/>
    <w:pPr>
      <w:spacing w:line="240" w:lineRule="auto"/>
    </w:pPr>
    <w:rPr>
      <w:sz w:val="20"/>
      <w:szCs w:val="20"/>
    </w:rPr>
  </w:style>
  <w:style w:type="character" w:customStyle="1" w:styleId="CommentTextChar">
    <w:name w:val="Comment Text Char"/>
    <w:basedOn w:val="DefaultParagraphFont"/>
    <w:link w:val="CommentText"/>
    <w:uiPriority w:val="99"/>
    <w:rsid w:val="0045714F"/>
    <w:rPr>
      <w:sz w:val="20"/>
      <w:szCs w:val="20"/>
    </w:rPr>
  </w:style>
  <w:style w:type="paragraph" w:styleId="CommentSubject">
    <w:name w:val="annotation subject"/>
    <w:basedOn w:val="CommentText"/>
    <w:next w:val="CommentText"/>
    <w:link w:val="CommentSubjectChar"/>
    <w:uiPriority w:val="99"/>
    <w:semiHidden/>
    <w:unhideWhenUsed/>
    <w:rsid w:val="0045714F"/>
    <w:rPr>
      <w:b/>
      <w:bCs/>
    </w:rPr>
  </w:style>
  <w:style w:type="character" w:customStyle="1" w:styleId="CommentSubjectChar">
    <w:name w:val="Comment Subject Char"/>
    <w:basedOn w:val="CommentTextChar"/>
    <w:link w:val="CommentSubject"/>
    <w:uiPriority w:val="99"/>
    <w:semiHidden/>
    <w:rsid w:val="0045714F"/>
    <w:rPr>
      <w:b/>
      <w:bCs/>
      <w:sz w:val="20"/>
      <w:szCs w:val="20"/>
    </w:rPr>
  </w:style>
  <w:style w:type="paragraph" w:styleId="BalloonText">
    <w:name w:val="Balloon Text"/>
    <w:basedOn w:val="Normal"/>
    <w:link w:val="BalloonTextChar"/>
    <w:uiPriority w:val="99"/>
    <w:semiHidden/>
    <w:unhideWhenUsed/>
    <w:rsid w:val="00457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14F"/>
    <w:rPr>
      <w:rFonts w:ascii="Segoe UI" w:hAnsi="Segoe UI" w:cs="Segoe UI"/>
      <w:sz w:val="18"/>
      <w:szCs w:val="18"/>
    </w:rPr>
  </w:style>
  <w:style w:type="table" w:styleId="GridTable4-Accent5">
    <w:name w:val="Grid Table 4 Accent 5"/>
    <w:basedOn w:val="TableNormal"/>
    <w:uiPriority w:val="49"/>
    <w:rsid w:val="00E8322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E8322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4C3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CA0"/>
  </w:style>
  <w:style w:type="paragraph" w:styleId="Footer">
    <w:name w:val="footer"/>
    <w:basedOn w:val="Normal"/>
    <w:link w:val="FooterChar"/>
    <w:uiPriority w:val="99"/>
    <w:unhideWhenUsed/>
    <w:rsid w:val="004C3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CA0"/>
  </w:style>
  <w:style w:type="table" w:styleId="GridTable6Colorful-Accent5">
    <w:name w:val="Grid Table 6 Colorful Accent 5"/>
    <w:basedOn w:val="TableNormal"/>
    <w:uiPriority w:val="51"/>
    <w:rsid w:val="004E1B3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qFormat/>
    <w:rsid w:val="00794F1F"/>
    <w:pPr>
      <w:keepNext/>
      <w:spacing w:before="120" w:after="0" w:line="240" w:lineRule="auto"/>
    </w:pPr>
    <w:rPr>
      <w:rFonts w:ascii="Arial Narrow" w:eastAsia="Times New Roman" w:hAnsi="Arial Narrow" w:cs="Times New Roman"/>
      <w:b/>
      <w:bCs/>
      <w:szCs w:val="20"/>
    </w:rPr>
  </w:style>
  <w:style w:type="paragraph" w:styleId="IntenseQuote">
    <w:name w:val="Intense Quote"/>
    <w:basedOn w:val="Normal"/>
    <w:next w:val="Normal"/>
    <w:link w:val="IntenseQuoteChar"/>
    <w:uiPriority w:val="30"/>
    <w:qFormat/>
    <w:rsid w:val="00794F1F"/>
    <w:pPr>
      <w:pBdr>
        <w:top w:val="single" w:sz="4" w:space="10" w:color="4472C4" w:themeColor="accent1"/>
        <w:bottom w:val="single" w:sz="4" w:space="10" w:color="4472C4" w:themeColor="accent1"/>
      </w:pBdr>
      <w:spacing w:before="360" w:after="360" w:line="240" w:lineRule="auto"/>
      <w:ind w:left="864" w:right="864"/>
      <w:jc w:val="center"/>
    </w:pPr>
    <w:rPr>
      <w:rFonts w:asciiTheme="majorHAnsi" w:hAnsiTheme="majorHAnsi"/>
      <w:i/>
      <w:iCs/>
      <w:color w:val="4472C4" w:themeColor="accent1"/>
    </w:rPr>
  </w:style>
  <w:style w:type="character" w:customStyle="1" w:styleId="IntenseQuoteChar">
    <w:name w:val="Intense Quote Char"/>
    <w:basedOn w:val="DefaultParagraphFont"/>
    <w:link w:val="IntenseQuote"/>
    <w:uiPriority w:val="30"/>
    <w:rsid w:val="00794F1F"/>
    <w:rPr>
      <w:rFonts w:asciiTheme="majorHAnsi" w:hAnsiTheme="majorHAnsi"/>
      <w:i/>
      <w:iCs/>
      <w:color w:val="4472C4" w:themeColor="accent1"/>
    </w:rPr>
  </w:style>
  <w:style w:type="paragraph" w:styleId="Revision">
    <w:name w:val="Revision"/>
    <w:hidden/>
    <w:uiPriority w:val="99"/>
    <w:semiHidden/>
    <w:rsid w:val="0062776D"/>
    <w:pPr>
      <w:spacing w:after="0" w:line="240" w:lineRule="auto"/>
    </w:pPr>
  </w:style>
  <w:style w:type="character" w:customStyle="1" w:styleId="Heading1Char">
    <w:name w:val="Heading 1 Char"/>
    <w:basedOn w:val="DefaultParagraphFont"/>
    <w:link w:val="Heading1"/>
    <w:uiPriority w:val="9"/>
    <w:rsid w:val="008C2D10"/>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DC4D2D"/>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DC4D2D"/>
    <w:rPr>
      <w:rFonts w:asciiTheme="majorHAnsi" w:eastAsiaTheme="majorEastAsia" w:hAnsiTheme="majorHAnsi" w:cstheme="majorBidi"/>
      <w:b/>
      <w:color w:val="1F3763" w:themeColor="accent1" w:themeShade="7F"/>
      <w:sz w:val="24"/>
      <w:szCs w:val="24"/>
    </w:rPr>
  </w:style>
  <w:style w:type="character" w:customStyle="1" w:styleId="UnresolvedMention2">
    <w:name w:val="Unresolved Mention2"/>
    <w:basedOn w:val="DefaultParagraphFont"/>
    <w:uiPriority w:val="99"/>
    <w:semiHidden/>
    <w:unhideWhenUsed/>
    <w:rsid w:val="00A27496"/>
    <w:rPr>
      <w:color w:val="808080"/>
      <w:shd w:val="clear" w:color="auto" w:fill="E6E6E6"/>
    </w:rPr>
  </w:style>
  <w:style w:type="character" w:styleId="UnresolvedMention">
    <w:name w:val="Unresolved Mention"/>
    <w:basedOn w:val="DefaultParagraphFont"/>
    <w:uiPriority w:val="99"/>
    <w:semiHidden/>
    <w:unhideWhenUsed/>
    <w:rsid w:val="00A25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pcc-nggip.iges.or.jp/public/2006gl/index.html" TargetMode="External"/><Relationship Id="rId18" Type="http://schemas.openxmlformats.org/officeDocument/2006/relationships/hyperlink" Target="https://www.ipcc-nggip.iges.or.jp/public/2019rf/vol1.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pcc-nggip.iges.or.jp/public/2006gl/pdf/1_Volume1/V1_6_Ch6_QA_QC.pdf" TargetMode="External"/><Relationship Id="rId2" Type="http://schemas.openxmlformats.org/officeDocument/2006/relationships/customXml" Target="../customXml/item2.xml"/><Relationship Id="rId16" Type="http://schemas.openxmlformats.org/officeDocument/2006/relationships/hyperlink" Target="https://www.ipcc-nggip.iges.or.jp/public/2006gl/index.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pcc-nggip.iges.or.jp/public/2019rf/vol1.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pcc-nggip.iges.or.jp/public/2006gl/pdf/1_Volume1/V1_6_Ch6_QA_QC.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process/transparency-and-reporting/reporting-and-review-under-the-convention/support-for-developing-countries/training-opportunities/training-materials-for-the-preparation-of-national-communications-from-non-annex-i-parties" TargetMode="External"/><Relationship Id="rId1" Type="http://schemas.openxmlformats.org/officeDocument/2006/relationships/hyperlink" Target="http://www.undp.org/content/undp/en/home/librarypage/environment-energy/low_emission_climateresilientdevelopment/managing-the-national-greenhouse-gas-inventory-proc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2020-02-14T05:00:00+00:00</Document_x0020_Creation_x0020_Date>
    <EPA_x0020_Office xmlns="4ffa91fb-a0ff-4ac5-b2db-65c790d184a4">OAR-OAP-CCD-CPB</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9041DF2-C57F-47B3-A61C-C7B74E3B23A7}">
  <ds:schemaRefs>
    <ds:schemaRef ds:uri="http://purl.org/dc/terms/"/>
    <ds:schemaRef ds:uri="http://schemas.microsoft.com/office/infopath/2007/PartnerControls"/>
    <ds:schemaRef ds:uri="http://purl.org/dc/elements/1.1/"/>
    <ds:schemaRef ds:uri="http://schemas.microsoft.com/office/2006/metadata/properties"/>
    <ds:schemaRef ds:uri="http://purl.org/dc/dcmitype/"/>
    <ds:schemaRef ds:uri="http://schemas.openxmlformats.org/package/2006/metadata/core-properties"/>
    <ds:schemaRef ds:uri="7d8dd676-26ca-4e08-b90f-b4e0026a58ac"/>
    <ds:schemaRef ds:uri="848123af-147b-409f-8d37-671fe761ca1d"/>
    <ds:schemaRef ds:uri="4ffa91fb-a0ff-4ac5-b2db-65c790d184a4"/>
    <ds:schemaRef ds:uri="http://schemas.microsoft.com/office/2006/documentManagement/types"/>
    <ds:schemaRef ds:uri="http://schemas.microsoft.com/sharepoint/v3/fields"/>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F13E222-50CD-4D02-A35B-0465D44DFD6D}">
  <ds:schemaRefs>
    <ds:schemaRef ds:uri="http://schemas.microsoft.com/sharepoint/v3/contenttype/forms"/>
  </ds:schemaRefs>
</ds:datastoreItem>
</file>

<file path=customXml/itemProps3.xml><?xml version="1.0" encoding="utf-8"?>
<ds:datastoreItem xmlns:ds="http://schemas.openxmlformats.org/officeDocument/2006/customXml" ds:itemID="{D3C573D7-5CBE-4F71-A29A-7A5094C9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B6F7C-06A2-4A70-AD1F-61D0A8DF177D}">
  <ds:schemaRefs>
    <ds:schemaRef ds:uri="http://schemas.openxmlformats.org/officeDocument/2006/bibliography"/>
  </ds:schemaRefs>
</ds:datastoreItem>
</file>

<file path=customXml/itemProps5.xml><?xml version="1.0" encoding="utf-8"?>
<ds:datastoreItem xmlns:ds="http://schemas.openxmlformats.org/officeDocument/2006/customXml" ds:itemID="{5B51E30C-4F92-46C7-A31E-6F5F4729E9D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7</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Toolkit for Building Natl GHG Inventory Systems_Introduction</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Building Natl GHG Inventory Systems_Introduction</dc:title>
  <dc:subject/>
  <dc:creator/>
  <cp:keywords/>
  <dc:description/>
  <cp:lastModifiedBy>Kerry Fountain</cp:lastModifiedBy>
  <cp:revision>99</cp:revision>
  <dcterms:created xsi:type="dcterms:W3CDTF">2018-07-30T16:40:00Z</dcterms:created>
  <dcterms:modified xsi:type="dcterms:W3CDTF">2020-11-11T10:38:00Z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0x010100B02808B08721D542829F50FE862A119C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