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FB6" w:rsidRPr="00762E16" w:rsidRDefault="00DC2FB6" w:rsidP="00DC2FB6">
      <w:pPr>
        <w:pStyle w:val="Heading1"/>
      </w:pPr>
      <w:bookmarkStart w:id="0" w:name="_Toc298143648"/>
      <w:r w:rsidRPr="00762E16">
        <w:t>Program Description</w:t>
      </w:r>
      <w:bookmarkEnd w:id="0"/>
    </w:p>
    <w:p w:rsidR="00DC2FB6" w:rsidRPr="00762E16" w:rsidRDefault="00DC2FB6" w:rsidP="00DC2FB6">
      <w:pPr>
        <w:pStyle w:val="Heading2"/>
      </w:pPr>
      <w:bookmarkStart w:id="1" w:name="_Toc298143649"/>
      <w:r w:rsidRPr="00762E16">
        <w:t>A.  Program Description</w:t>
      </w:r>
      <w:bookmarkEnd w:id="1"/>
    </w:p>
    <w:p w:rsidR="00DC2FB6" w:rsidRPr="00762E16" w:rsidRDefault="00DC2FB6" w:rsidP="00DC2FB6">
      <w:pPr>
        <w:pStyle w:val="Heading3"/>
      </w:pPr>
      <w:r>
        <w:t>1.  Type o</w:t>
      </w:r>
      <w:r w:rsidRPr="00762E16">
        <w:t>f Approval Requested</w:t>
      </w:r>
    </w:p>
    <w:p w:rsidR="00DC2FB6" w:rsidRPr="00762E16" w:rsidRDefault="00DC2FB6" w:rsidP="00DC2FB6">
      <w:pPr>
        <w:pStyle w:val="BodyText"/>
      </w:pPr>
      <w:r w:rsidRPr="00762E16">
        <w:t xml:space="preserve">The State of </w:t>
      </w:r>
      <w:smartTag w:uri="urn:schemas-microsoft-com:office:smarttags" w:element="place">
        <w:smartTag w:uri="urn:schemas-microsoft-com:office:smarttags" w:element="State">
          <w:r w:rsidRPr="00762E16">
            <w:t>Idaho</w:t>
          </w:r>
        </w:smartTag>
      </w:smartTag>
      <w:r w:rsidRPr="00762E16">
        <w:t xml:space="preserve"> is requesting </w:t>
      </w:r>
      <w:r w:rsidRPr="00762E16">
        <w:rPr>
          <w:b/>
        </w:rPr>
        <w:t>final</w:t>
      </w:r>
      <w:r w:rsidRPr="00762E16">
        <w:t xml:space="preserve"> approval for a </w:t>
      </w:r>
      <w:r w:rsidRPr="00AE5552">
        <w:rPr>
          <w:b/>
        </w:rPr>
        <w:t>complete</w:t>
      </w:r>
      <w:r w:rsidRPr="00762E16">
        <w:t xml:space="preserve"> </w:t>
      </w:r>
      <w:r>
        <w:t>underground storage tank (UST)</w:t>
      </w:r>
      <w:r w:rsidRPr="00762E16">
        <w:t xml:space="preserve"> program regulating both petroleum and hazardous substance UST systems.</w:t>
      </w:r>
    </w:p>
    <w:p w:rsidR="00DC2FB6" w:rsidRPr="00762E16" w:rsidRDefault="00DC2FB6" w:rsidP="00DC2FB6">
      <w:pPr>
        <w:pStyle w:val="Heading3"/>
      </w:pPr>
      <w:r w:rsidRPr="00762E16">
        <w:t xml:space="preserve">2.  Does </w:t>
      </w:r>
      <w:r>
        <w:t>t</w:t>
      </w:r>
      <w:r w:rsidRPr="00762E16">
        <w:t xml:space="preserve">he </w:t>
      </w:r>
      <w:r>
        <w:t>S</w:t>
      </w:r>
      <w:r w:rsidRPr="00762E16">
        <w:t xml:space="preserve">tate </w:t>
      </w:r>
      <w:r>
        <w:t>h</w:t>
      </w:r>
      <w:r w:rsidRPr="00762E16">
        <w:t xml:space="preserve">ave any existing agreements </w:t>
      </w:r>
      <w:r>
        <w:t>w</w:t>
      </w:r>
      <w:r w:rsidRPr="00762E16">
        <w:t xml:space="preserve">ith Indian tribes?  </w:t>
      </w:r>
      <w:r>
        <w:t>I</w:t>
      </w:r>
      <w:r w:rsidRPr="00762E16">
        <w:t xml:space="preserve">f so, attach agreements </w:t>
      </w:r>
      <w:r>
        <w:t>a</w:t>
      </w:r>
      <w:r w:rsidRPr="00762E16">
        <w:t>nd briefly describe.</w:t>
      </w:r>
    </w:p>
    <w:p w:rsidR="00DC2FB6" w:rsidRPr="00762E16" w:rsidRDefault="00DC2FB6" w:rsidP="00DC2FB6">
      <w:pPr>
        <w:pStyle w:val="BodyText"/>
      </w:pPr>
      <w:r w:rsidRPr="00762E16">
        <w:t xml:space="preserve">The State of </w:t>
      </w:r>
      <w:smartTag w:uri="urn:schemas-microsoft-com:office:smarttags" w:element="place">
        <w:smartTag w:uri="urn:schemas-microsoft-com:office:smarttags" w:element="State">
          <w:r w:rsidRPr="00762E16">
            <w:t>Idaho</w:t>
          </w:r>
        </w:smartTag>
      </w:smartTag>
      <w:r w:rsidRPr="00762E16">
        <w:t xml:space="preserve"> does not have any existing agreements with Indian </w:t>
      </w:r>
      <w:r>
        <w:t>t</w:t>
      </w:r>
      <w:r w:rsidRPr="00762E16">
        <w:t>ribes to regulate UST systems.</w:t>
      </w:r>
    </w:p>
    <w:p w:rsidR="00DC2FB6" w:rsidRPr="00762E16" w:rsidRDefault="00DC2FB6" w:rsidP="00DC2FB6">
      <w:pPr>
        <w:pStyle w:val="Heading2"/>
      </w:pPr>
      <w:bookmarkStart w:id="2" w:name="_Toc298143650"/>
      <w:r w:rsidRPr="00762E16">
        <w:t>B.  Program Scope</w:t>
      </w:r>
      <w:bookmarkEnd w:id="2"/>
    </w:p>
    <w:p w:rsidR="00DC2FB6" w:rsidRPr="00762E16" w:rsidRDefault="00DC2FB6" w:rsidP="00DC2FB6">
      <w:pPr>
        <w:pStyle w:val="BodyText"/>
      </w:pPr>
      <w:r w:rsidRPr="00762E16">
        <w:t xml:space="preserve">The State of </w:t>
      </w:r>
      <w:smartTag w:uri="urn:schemas-microsoft-com:office:smarttags" w:element="place">
        <w:smartTag w:uri="urn:schemas-microsoft-com:office:smarttags" w:element="State">
          <w:r w:rsidRPr="00762E16">
            <w:t>Idaho</w:t>
          </w:r>
        </w:smartTag>
      </w:smartTag>
      <w:r w:rsidRPr="00762E16">
        <w:t xml:space="preserve"> has adopted the Federal regulations b</w:t>
      </w:r>
      <w:bookmarkStart w:id="3" w:name="_GoBack"/>
      <w:bookmarkEnd w:id="3"/>
      <w:r w:rsidRPr="00762E16">
        <w:t>y reference</w:t>
      </w:r>
      <w:r>
        <w:t>,</w:t>
      </w:r>
      <w:r w:rsidRPr="00762E16">
        <w:t xml:space="preserve"> so its </w:t>
      </w:r>
      <w:r>
        <w:t xml:space="preserve">program </w:t>
      </w:r>
      <w:r w:rsidRPr="00762E16">
        <w:t xml:space="preserve">scope is similar to that of the Federal government’s.  The State </w:t>
      </w:r>
      <w:r>
        <w:t xml:space="preserve">program </w:t>
      </w:r>
      <w:r w:rsidRPr="00762E16">
        <w:t>differ</w:t>
      </w:r>
      <w:r>
        <w:t>s</w:t>
      </w:r>
      <w:r w:rsidRPr="00762E16">
        <w:t xml:space="preserve"> from the Federal program in the following areas</w:t>
      </w:r>
      <w:r>
        <w:t xml:space="preserve"> (see Appendix A for the full text of IDAPA 58.01.07)</w:t>
      </w:r>
      <w:r w:rsidRPr="00762E16">
        <w:t>:</w:t>
      </w:r>
    </w:p>
    <w:p w:rsidR="00DC2FB6" w:rsidRPr="00762E16" w:rsidRDefault="00DC2FB6" w:rsidP="00DC2FB6">
      <w:pPr>
        <w:pStyle w:val="Bullet"/>
        <w:numPr>
          <w:ilvl w:val="0"/>
          <w:numId w:val="1"/>
        </w:numPr>
      </w:pPr>
      <w:r w:rsidRPr="00762E16">
        <w:t>The State’s UST program requires secondary containment and monitoring of any UST system installed or replaced after February 23, 2007</w:t>
      </w:r>
      <w:r>
        <w:t>,</w:t>
      </w:r>
      <w:r w:rsidRPr="00762E16">
        <w:t xml:space="preserve"> that is within 1</w:t>
      </w:r>
      <w:r>
        <w:t>,</w:t>
      </w:r>
      <w:r w:rsidRPr="00762E16">
        <w:t>000 feet of a potable drinking water source.</w:t>
      </w:r>
      <w:r>
        <w:t xml:space="preserve"> </w:t>
      </w:r>
      <w:r>
        <w:rPr>
          <w:bCs w:val="0"/>
        </w:rPr>
        <w:t>See</w:t>
      </w:r>
      <w:r w:rsidRPr="0003207A">
        <w:t xml:space="preserve"> </w:t>
      </w:r>
      <w:r>
        <w:t>Idaho’s “Rules Regulating Underground Storage Tank Systems,”</w:t>
      </w:r>
      <w:r>
        <w:rPr>
          <w:bCs w:val="0"/>
        </w:rPr>
        <w:t xml:space="preserve"> </w:t>
      </w:r>
      <w:r>
        <w:t>IDAPA 58.01.07.100.</w:t>
      </w:r>
    </w:p>
    <w:p w:rsidR="00DC2FB6" w:rsidRPr="00762E16" w:rsidRDefault="00DC2FB6" w:rsidP="00DC2FB6">
      <w:pPr>
        <w:pStyle w:val="Bullet"/>
        <w:numPr>
          <w:ilvl w:val="0"/>
          <w:numId w:val="1"/>
        </w:numPr>
      </w:pPr>
      <w:r w:rsidRPr="00762E16">
        <w:t>The State’s UST program requires owners and/or operators to report the source and cause of a release.</w:t>
      </w:r>
      <w:r>
        <w:t xml:space="preserve"> </w:t>
      </w:r>
      <w:r>
        <w:rPr>
          <w:bCs w:val="0"/>
        </w:rPr>
        <w:t>See</w:t>
      </w:r>
      <w:r w:rsidRPr="0003207A">
        <w:t xml:space="preserve"> </w:t>
      </w:r>
      <w:r>
        <w:t>IDAPA 58.01.07.200.</w:t>
      </w:r>
    </w:p>
    <w:p w:rsidR="00DC2FB6" w:rsidRPr="00762E16" w:rsidRDefault="00DC2FB6" w:rsidP="00DC2FB6">
      <w:pPr>
        <w:pStyle w:val="Bullet"/>
        <w:numPr>
          <w:ilvl w:val="0"/>
          <w:numId w:val="1"/>
        </w:numPr>
      </w:pPr>
      <w:r w:rsidRPr="00762E16">
        <w:t xml:space="preserve">The State’s UST program </w:t>
      </w:r>
      <w:r>
        <w:t>r</w:t>
      </w:r>
      <w:r w:rsidRPr="00762E16">
        <w:t>equires operator training</w:t>
      </w:r>
      <w:r>
        <w:t xml:space="preserve">. </w:t>
      </w:r>
      <w:r>
        <w:rPr>
          <w:bCs w:val="0"/>
        </w:rPr>
        <w:t>See</w:t>
      </w:r>
      <w:r w:rsidRPr="0003207A">
        <w:rPr>
          <w:bCs w:val="0"/>
        </w:rPr>
        <w:t xml:space="preserve"> </w:t>
      </w:r>
      <w:r w:rsidRPr="00762E16">
        <w:rPr>
          <w:bCs w:val="0"/>
        </w:rPr>
        <w:t>IDAPA 58.01.07.300</w:t>
      </w:r>
      <w:r>
        <w:rPr>
          <w:bCs w:val="0"/>
        </w:rPr>
        <w:t>.</w:t>
      </w:r>
    </w:p>
    <w:p w:rsidR="00DC2FB6" w:rsidRPr="00762E16" w:rsidRDefault="00DC2FB6" w:rsidP="00DC2FB6">
      <w:pPr>
        <w:pStyle w:val="Bullet"/>
        <w:numPr>
          <w:ilvl w:val="0"/>
          <w:numId w:val="1"/>
        </w:numPr>
      </w:pPr>
      <w:r w:rsidRPr="00762E16">
        <w:t xml:space="preserve">The State’s UST program requires that every UST facility be inspected </w:t>
      </w:r>
      <w:r>
        <w:t xml:space="preserve">at least </w:t>
      </w:r>
      <w:r w:rsidRPr="00762E16">
        <w:t xml:space="preserve">every </w:t>
      </w:r>
      <w:r>
        <w:t>3 </w:t>
      </w:r>
      <w:r w:rsidRPr="00762E16">
        <w:t>years.</w:t>
      </w:r>
      <w:r>
        <w:t xml:space="preserve"> </w:t>
      </w:r>
      <w:r>
        <w:rPr>
          <w:bCs w:val="0"/>
        </w:rPr>
        <w:t xml:space="preserve">See </w:t>
      </w:r>
      <w:r w:rsidRPr="00762E16">
        <w:rPr>
          <w:bCs w:val="0"/>
        </w:rPr>
        <w:t>IDAPA 58.01.07.400</w:t>
      </w:r>
      <w:r>
        <w:rPr>
          <w:bCs w:val="0"/>
        </w:rPr>
        <w:t>.</w:t>
      </w:r>
    </w:p>
    <w:p w:rsidR="00DC2FB6" w:rsidRPr="00762E16" w:rsidRDefault="00DC2FB6" w:rsidP="00DC2FB6">
      <w:pPr>
        <w:pStyle w:val="Bullet"/>
        <w:numPr>
          <w:ilvl w:val="0"/>
          <w:numId w:val="1"/>
        </w:numPr>
      </w:pPr>
      <w:r w:rsidRPr="00762E16">
        <w:t>The State’s UST program allows for delivery prohibition.</w:t>
      </w:r>
      <w:r>
        <w:t xml:space="preserve"> </w:t>
      </w:r>
      <w:r>
        <w:rPr>
          <w:bCs w:val="0"/>
        </w:rPr>
        <w:t xml:space="preserve">See IDAPA </w:t>
      </w:r>
      <w:r w:rsidRPr="00762E16">
        <w:rPr>
          <w:bCs w:val="0"/>
        </w:rPr>
        <w:t>58.01.07.500</w:t>
      </w:r>
      <w:r>
        <w:rPr>
          <w:bCs w:val="0"/>
        </w:rPr>
        <w:t>.</w:t>
      </w:r>
    </w:p>
    <w:p w:rsidR="00DC2FB6" w:rsidRPr="00A8677F" w:rsidRDefault="00DC2FB6" w:rsidP="00DC2FB6">
      <w:pPr>
        <w:pStyle w:val="Bullet"/>
        <w:numPr>
          <w:ilvl w:val="0"/>
          <w:numId w:val="1"/>
        </w:numPr>
      </w:pPr>
      <w:r w:rsidRPr="00762E16">
        <w:t xml:space="preserve">The State’s UST program requires the Department </w:t>
      </w:r>
      <w:r>
        <w:t xml:space="preserve">to </w:t>
      </w:r>
      <w:r w:rsidRPr="00762E16">
        <w:t>create and maintain a public UST database.</w:t>
      </w:r>
      <w:r>
        <w:t xml:space="preserve"> </w:t>
      </w:r>
      <w:r>
        <w:rPr>
          <w:bCs w:val="0"/>
        </w:rPr>
        <w:t xml:space="preserve">See </w:t>
      </w:r>
      <w:r w:rsidRPr="00762E16">
        <w:rPr>
          <w:bCs w:val="0"/>
        </w:rPr>
        <w:t>IDAPA 58.01.07.600</w:t>
      </w:r>
      <w:r>
        <w:rPr>
          <w:bCs w:val="0"/>
        </w:rPr>
        <w:t>.</w:t>
      </w:r>
    </w:p>
    <w:p w:rsidR="00DC2FB6" w:rsidRDefault="00DC2FB6" w:rsidP="00DC2FB6">
      <w:pPr>
        <w:pStyle w:val="Bullet"/>
        <w:tabs>
          <w:tab w:val="clear" w:pos="720"/>
        </w:tabs>
        <w:rPr>
          <w:bCs w:val="0"/>
        </w:rPr>
      </w:pPr>
    </w:p>
    <w:p w:rsidR="00DC2FB6" w:rsidRPr="001015EB" w:rsidRDefault="00DC2FB6" w:rsidP="00DC2FB6">
      <w:r w:rsidRPr="001015EB">
        <w:t>The following table outlines Idaho statutes and rules that are referenced in this Application for the UST program and the appendix where they can be found after the body of this document</w:t>
      </w:r>
      <w:r>
        <w:t>. Note that some references are subparts to a larger authority but are included specifically because of their pertinence to the State’s UST program.</w:t>
      </w:r>
    </w:p>
    <w:p w:rsidR="00DC2FB6" w:rsidRDefault="00DC2FB6" w:rsidP="00DC2FB6">
      <w:pPr>
        <w:pStyle w:val="Bodytextnospacing"/>
      </w:pPr>
    </w:p>
    <w:tbl>
      <w:tblPr>
        <w:tblW w:w="8640" w:type="dxa"/>
        <w:tblLook w:val="04A0" w:firstRow="1" w:lastRow="0" w:firstColumn="1" w:lastColumn="0" w:noHBand="0" w:noVBand="1"/>
      </w:tblPr>
      <w:tblGrid>
        <w:gridCol w:w="1948"/>
        <w:gridCol w:w="1800"/>
        <w:gridCol w:w="3864"/>
        <w:gridCol w:w="1028"/>
      </w:tblGrid>
      <w:tr w:rsidR="00DC2FB6" w:rsidRPr="00E505F0" w:rsidTr="001E1F6C">
        <w:trPr>
          <w:cantSplit/>
        </w:trPr>
        <w:tc>
          <w:tcPr>
            <w:tcW w:w="1948" w:type="dxa"/>
            <w:tcBorders>
              <w:top w:val="single" w:sz="8" w:space="0" w:color="auto"/>
              <w:left w:val="single" w:sz="4" w:space="0" w:color="auto"/>
              <w:bottom w:val="single" w:sz="12" w:space="0" w:color="auto"/>
              <w:right w:val="single" w:sz="4" w:space="0" w:color="auto"/>
            </w:tcBorders>
            <w:tcMar>
              <w:left w:w="58" w:type="dxa"/>
              <w:right w:w="58" w:type="dxa"/>
            </w:tcMar>
          </w:tcPr>
          <w:p w:rsidR="00DC2FB6" w:rsidRPr="00E505F0" w:rsidRDefault="00DC2FB6" w:rsidP="001E1F6C">
            <w:pPr>
              <w:keepNext/>
              <w:keepLines/>
              <w:outlineLvl w:val="4"/>
              <w:rPr>
                <w:rFonts w:cs="Arial"/>
                <w:b/>
                <w:bCs/>
                <w:sz w:val="20"/>
                <w:szCs w:val="20"/>
              </w:rPr>
            </w:pPr>
            <w:r w:rsidRPr="00E505F0">
              <w:rPr>
                <w:rFonts w:cs="Arial"/>
                <w:b/>
                <w:bCs/>
                <w:sz w:val="20"/>
                <w:szCs w:val="20"/>
              </w:rPr>
              <w:lastRenderedPageBreak/>
              <w:t>Statute</w:t>
            </w:r>
          </w:p>
        </w:tc>
        <w:tc>
          <w:tcPr>
            <w:tcW w:w="1800" w:type="dxa"/>
            <w:tcBorders>
              <w:top w:val="single" w:sz="8" w:space="0" w:color="auto"/>
              <w:left w:val="single" w:sz="4" w:space="0" w:color="auto"/>
              <w:bottom w:val="single" w:sz="12" w:space="0" w:color="auto"/>
              <w:right w:val="single" w:sz="4" w:space="0" w:color="auto"/>
            </w:tcBorders>
            <w:tcMar>
              <w:left w:w="58" w:type="dxa"/>
              <w:right w:w="58" w:type="dxa"/>
            </w:tcMar>
          </w:tcPr>
          <w:p w:rsidR="00DC2FB6" w:rsidRPr="00E505F0" w:rsidRDefault="00DC2FB6" w:rsidP="001E1F6C">
            <w:pPr>
              <w:keepNext/>
              <w:keepLines/>
              <w:outlineLvl w:val="4"/>
              <w:rPr>
                <w:rFonts w:cs="Arial"/>
                <w:b/>
                <w:bCs/>
                <w:sz w:val="20"/>
                <w:szCs w:val="20"/>
              </w:rPr>
            </w:pPr>
            <w:r w:rsidRPr="00E505F0">
              <w:rPr>
                <w:rFonts w:cs="Arial"/>
                <w:b/>
                <w:bCs/>
                <w:sz w:val="20"/>
                <w:szCs w:val="20"/>
              </w:rPr>
              <w:t>Rule</w:t>
            </w:r>
          </w:p>
        </w:tc>
        <w:tc>
          <w:tcPr>
            <w:tcW w:w="3864" w:type="dxa"/>
            <w:tcBorders>
              <w:top w:val="single" w:sz="8" w:space="0" w:color="auto"/>
              <w:left w:val="single" w:sz="4" w:space="0" w:color="auto"/>
              <w:bottom w:val="single" w:sz="12" w:space="0" w:color="auto"/>
              <w:right w:val="single" w:sz="4" w:space="0" w:color="auto"/>
            </w:tcBorders>
            <w:tcMar>
              <w:left w:w="58" w:type="dxa"/>
              <w:right w:w="58" w:type="dxa"/>
            </w:tcMar>
          </w:tcPr>
          <w:p w:rsidR="00DC2FB6" w:rsidRPr="00E505F0" w:rsidRDefault="00DC2FB6" w:rsidP="001E1F6C">
            <w:pPr>
              <w:keepNext/>
              <w:keepLines/>
              <w:outlineLvl w:val="4"/>
              <w:rPr>
                <w:rFonts w:cs="Arial"/>
                <w:b/>
                <w:bCs/>
                <w:sz w:val="20"/>
                <w:szCs w:val="20"/>
              </w:rPr>
            </w:pPr>
            <w:r w:rsidRPr="00E505F0">
              <w:rPr>
                <w:rFonts w:cs="Arial"/>
                <w:b/>
                <w:bCs/>
                <w:sz w:val="20"/>
                <w:szCs w:val="20"/>
              </w:rPr>
              <w:t>Description</w:t>
            </w:r>
          </w:p>
        </w:tc>
        <w:tc>
          <w:tcPr>
            <w:tcW w:w="1028" w:type="dxa"/>
            <w:tcBorders>
              <w:top w:val="single" w:sz="8" w:space="0" w:color="auto"/>
              <w:left w:val="single" w:sz="4" w:space="0" w:color="auto"/>
              <w:bottom w:val="single" w:sz="12" w:space="0" w:color="auto"/>
              <w:right w:val="single" w:sz="4" w:space="0" w:color="auto"/>
            </w:tcBorders>
            <w:tcMar>
              <w:left w:w="58" w:type="dxa"/>
              <w:right w:w="58" w:type="dxa"/>
            </w:tcMar>
          </w:tcPr>
          <w:p w:rsidR="00DC2FB6" w:rsidRPr="00E505F0" w:rsidRDefault="00DC2FB6" w:rsidP="001E1F6C">
            <w:pPr>
              <w:keepNext/>
              <w:keepLines/>
              <w:outlineLvl w:val="4"/>
              <w:rPr>
                <w:rFonts w:cs="Arial"/>
                <w:b/>
                <w:bCs/>
                <w:sz w:val="20"/>
                <w:szCs w:val="20"/>
              </w:rPr>
            </w:pPr>
            <w:r>
              <w:rPr>
                <w:rFonts w:cs="Arial"/>
                <w:b/>
                <w:bCs/>
                <w:sz w:val="20"/>
                <w:szCs w:val="20"/>
              </w:rPr>
              <w:t>Appendix</w:t>
            </w:r>
          </w:p>
        </w:tc>
      </w:tr>
      <w:tr w:rsidR="00DC2FB6" w:rsidRPr="00E505F0" w:rsidTr="001E1F6C">
        <w:trPr>
          <w:cantSplit/>
          <w:trHeight w:val="70"/>
        </w:trPr>
        <w:tc>
          <w:tcPr>
            <w:tcW w:w="1948" w:type="dxa"/>
            <w:tcBorders>
              <w:top w:val="single" w:sz="12" w:space="0" w:color="auto"/>
              <w:left w:val="single" w:sz="4" w:space="0" w:color="auto"/>
              <w:right w:val="single" w:sz="4" w:space="0" w:color="auto"/>
            </w:tcBorders>
            <w:tcMar>
              <w:left w:w="58" w:type="dxa"/>
              <w:right w:w="58" w:type="dxa"/>
            </w:tcMar>
          </w:tcPr>
          <w:p w:rsidR="00DC2FB6" w:rsidRPr="009F6B9C" w:rsidRDefault="00DC2FB6" w:rsidP="001E1F6C">
            <w:pPr>
              <w:keepNext/>
              <w:keepLines/>
              <w:spacing w:before="100" w:beforeAutospacing="1" w:after="100" w:afterAutospacing="1"/>
              <w:outlineLvl w:val="2"/>
              <w:rPr>
                <w:rFonts w:cs="Arial"/>
                <w:sz w:val="20"/>
                <w:szCs w:val="20"/>
              </w:rPr>
            </w:pPr>
          </w:p>
        </w:tc>
        <w:tc>
          <w:tcPr>
            <w:tcW w:w="1800" w:type="dxa"/>
            <w:tcBorders>
              <w:top w:val="single" w:sz="12" w:space="0" w:color="auto"/>
              <w:left w:val="single" w:sz="4" w:space="0" w:color="auto"/>
              <w:right w:val="single" w:sz="4" w:space="0" w:color="auto"/>
            </w:tcBorders>
            <w:tcMar>
              <w:left w:w="58" w:type="dxa"/>
              <w:right w:w="58" w:type="dxa"/>
            </w:tcMar>
          </w:tcPr>
          <w:p w:rsidR="00DC2FB6" w:rsidRPr="00271F73" w:rsidRDefault="00DC2FB6" w:rsidP="001E1F6C">
            <w:pPr>
              <w:keepNext/>
              <w:keepLines/>
              <w:outlineLvl w:val="4"/>
              <w:rPr>
                <w:rFonts w:cs="Arial"/>
                <w:b/>
                <w:bCs/>
                <w:sz w:val="20"/>
                <w:szCs w:val="20"/>
              </w:rPr>
            </w:pPr>
            <w:r w:rsidRPr="00271F73">
              <w:rPr>
                <w:rFonts w:cs="Arial"/>
                <w:b/>
                <w:bCs/>
                <w:sz w:val="20"/>
                <w:szCs w:val="20"/>
              </w:rPr>
              <w:t>IDAPA 58.01.02</w:t>
            </w:r>
          </w:p>
        </w:tc>
        <w:tc>
          <w:tcPr>
            <w:tcW w:w="3864" w:type="dxa"/>
            <w:tcBorders>
              <w:top w:val="single" w:sz="12" w:space="0" w:color="auto"/>
              <w:left w:val="single" w:sz="4" w:space="0" w:color="auto"/>
              <w:right w:val="single" w:sz="4" w:space="0" w:color="auto"/>
            </w:tcBorders>
            <w:tcMar>
              <w:left w:w="58" w:type="dxa"/>
              <w:right w:w="58" w:type="dxa"/>
            </w:tcMar>
          </w:tcPr>
          <w:p w:rsidR="00DC2FB6" w:rsidRPr="009F6B9C" w:rsidRDefault="00DC2FB6" w:rsidP="001E1F6C">
            <w:pPr>
              <w:keepNext/>
              <w:keepLines/>
              <w:outlineLvl w:val="4"/>
              <w:rPr>
                <w:rFonts w:cs="Arial"/>
                <w:bCs/>
                <w:sz w:val="20"/>
                <w:szCs w:val="20"/>
              </w:rPr>
            </w:pPr>
            <w:r w:rsidRPr="009F6B9C">
              <w:rPr>
                <w:rFonts w:cs="Arial"/>
                <w:bCs/>
                <w:sz w:val="20"/>
                <w:szCs w:val="20"/>
              </w:rPr>
              <w:t xml:space="preserve">Water Quality Standards </w:t>
            </w:r>
          </w:p>
        </w:tc>
        <w:tc>
          <w:tcPr>
            <w:tcW w:w="1028" w:type="dxa"/>
            <w:tcBorders>
              <w:top w:val="single" w:sz="12" w:space="0" w:color="auto"/>
              <w:left w:val="single" w:sz="4" w:space="0" w:color="auto"/>
              <w:right w:val="single" w:sz="4" w:space="0" w:color="auto"/>
            </w:tcBorders>
            <w:tcMar>
              <w:left w:w="58" w:type="dxa"/>
              <w:right w:w="58" w:type="dxa"/>
            </w:tcMar>
          </w:tcPr>
          <w:p w:rsidR="00DC2FB6" w:rsidRPr="009F6B9C" w:rsidRDefault="00DC2FB6" w:rsidP="001E1F6C">
            <w:pPr>
              <w:keepNext/>
              <w:keepLines/>
              <w:jc w:val="center"/>
              <w:outlineLvl w:val="4"/>
              <w:rPr>
                <w:rFonts w:cs="Arial"/>
                <w:bCs/>
                <w:sz w:val="20"/>
                <w:szCs w:val="20"/>
              </w:rPr>
            </w:pPr>
            <w:r>
              <w:rPr>
                <w:rFonts w:cs="Arial"/>
                <w:bCs/>
                <w:sz w:val="20"/>
                <w:szCs w:val="20"/>
              </w:rPr>
              <w:t>A</w:t>
            </w:r>
          </w:p>
        </w:tc>
      </w:tr>
      <w:tr w:rsidR="00DC2FB6" w:rsidRPr="009F6B9C" w:rsidTr="001E1F6C">
        <w:trPr>
          <w:cantSplit/>
        </w:trPr>
        <w:tc>
          <w:tcPr>
            <w:tcW w:w="1948" w:type="dxa"/>
            <w:tcBorders>
              <w:left w:val="single" w:sz="4" w:space="0" w:color="auto"/>
              <w:right w:val="single" w:sz="4" w:space="0" w:color="auto"/>
            </w:tcBorders>
            <w:tcMar>
              <w:left w:w="58" w:type="dxa"/>
              <w:right w:w="58" w:type="dxa"/>
            </w:tcMar>
          </w:tcPr>
          <w:p w:rsidR="00DC2FB6" w:rsidRPr="00E505F0" w:rsidRDefault="00DC2FB6" w:rsidP="001E1F6C">
            <w:pPr>
              <w:keepNext/>
              <w:keepLines/>
              <w:outlineLvl w:val="4"/>
              <w:rPr>
                <w:rFonts w:cs="Arial"/>
                <w:bCs/>
                <w:sz w:val="20"/>
                <w:szCs w:val="20"/>
              </w:rPr>
            </w:pPr>
          </w:p>
        </w:tc>
        <w:tc>
          <w:tcPr>
            <w:tcW w:w="1800" w:type="dxa"/>
            <w:tcBorders>
              <w:left w:val="single" w:sz="4" w:space="0" w:color="auto"/>
              <w:right w:val="single" w:sz="4" w:space="0" w:color="auto"/>
            </w:tcBorders>
            <w:tcMar>
              <w:left w:w="58" w:type="dxa"/>
              <w:right w:w="58" w:type="dxa"/>
            </w:tcMar>
          </w:tcPr>
          <w:p w:rsidR="00DC2FB6" w:rsidRPr="00E505F0" w:rsidRDefault="00DC2FB6" w:rsidP="00DC2FB6">
            <w:pPr>
              <w:keepNext/>
              <w:keepLines/>
              <w:numPr>
                <w:ilvl w:val="0"/>
                <w:numId w:val="4"/>
              </w:numPr>
              <w:ind w:left="302" w:hanging="180"/>
              <w:outlineLvl w:val="4"/>
              <w:rPr>
                <w:rFonts w:cs="Arial"/>
                <w:bCs/>
                <w:sz w:val="20"/>
                <w:szCs w:val="20"/>
              </w:rPr>
            </w:pPr>
            <w:r w:rsidRPr="00E505F0">
              <w:rPr>
                <w:rFonts w:cs="Arial"/>
                <w:bCs/>
                <w:sz w:val="20"/>
                <w:szCs w:val="20"/>
              </w:rPr>
              <w:t xml:space="preserve">IDAPA </w:t>
            </w:r>
            <w:r>
              <w:rPr>
                <w:rFonts w:cs="Arial"/>
                <w:bCs/>
                <w:sz w:val="20"/>
                <w:szCs w:val="20"/>
              </w:rPr>
              <w:br/>
            </w:r>
            <w:r w:rsidRPr="00E505F0">
              <w:rPr>
                <w:rFonts w:cs="Arial"/>
                <w:bCs/>
                <w:sz w:val="20"/>
                <w:szCs w:val="20"/>
              </w:rPr>
              <w:t>58.01.02.851</w:t>
            </w:r>
          </w:p>
        </w:tc>
        <w:tc>
          <w:tcPr>
            <w:tcW w:w="3864" w:type="dxa"/>
            <w:tcBorders>
              <w:left w:val="single" w:sz="4" w:space="0" w:color="auto"/>
              <w:right w:val="single" w:sz="4" w:space="0" w:color="auto"/>
            </w:tcBorders>
            <w:tcMar>
              <w:left w:w="58" w:type="dxa"/>
              <w:right w:w="58" w:type="dxa"/>
            </w:tcMar>
          </w:tcPr>
          <w:p w:rsidR="00DC2FB6" w:rsidRPr="00E505F0" w:rsidRDefault="00DC2FB6" w:rsidP="00DC2FB6">
            <w:pPr>
              <w:keepNext/>
              <w:keepLines/>
              <w:numPr>
                <w:ilvl w:val="0"/>
                <w:numId w:val="4"/>
              </w:numPr>
              <w:ind w:left="302" w:hanging="180"/>
              <w:outlineLvl w:val="4"/>
              <w:rPr>
                <w:rFonts w:cs="Arial"/>
                <w:bCs/>
                <w:sz w:val="20"/>
                <w:szCs w:val="20"/>
              </w:rPr>
            </w:pPr>
            <w:r w:rsidRPr="00E505F0">
              <w:rPr>
                <w:rFonts w:cs="Arial"/>
                <w:bCs/>
                <w:sz w:val="20"/>
                <w:szCs w:val="20"/>
              </w:rPr>
              <w:t>Petroleum Release Reporting, Investigation, and Confirmation</w:t>
            </w:r>
          </w:p>
        </w:tc>
        <w:tc>
          <w:tcPr>
            <w:tcW w:w="1028" w:type="dxa"/>
            <w:tcBorders>
              <w:left w:val="single" w:sz="4" w:space="0" w:color="auto"/>
              <w:right w:val="single" w:sz="4" w:space="0" w:color="auto"/>
            </w:tcBorders>
            <w:tcMar>
              <w:left w:w="58" w:type="dxa"/>
              <w:right w:w="58" w:type="dxa"/>
            </w:tcMar>
          </w:tcPr>
          <w:p w:rsidR="00DC2FB6" w:rsidRPr="009F6B9C" w:rsidRDefault="00DC2FB6" w:rsidP="001E1F6C">
            <w:pPr>
              <w:keepNext/>
              <w:keepLines/>
              <w:jc w:val="center"/>
              <w:outlineLvl w:val="4"/>
              <w:rPr>
                <w:rFonts w:cs="Arial"/>
                <w:bCs/>
                <w:sz w:val="20"/>
                <w:szCs w:val="20"/>
              </w:rPr>
            </w:pPr>
          </w:p>
        </w:tc>
      </w:tr>
      <w:tr w:rsidR="00DC2FB6" w:rsidRPr="009F6B9C" w:rsidTr="001E1F6C">
        <w:trPr>
          <w:cantSplit/>
        </w:trPr>
        <w:tc>
          <w:tcPr>
            <w:tcW w:w="1948" w:type="dxa"/>
            <w:tcBorders>
              <w:left w:val="single" w:sz="4" w:space="0" w:color="auto"/>
              <w:bottom w:val="single" w:sz="4" w:space="0" w:color="auto"/>
              <w:right w:val="single" w:sz="4" w:space="0" w:color="auto"/>
            </w:tcBorders>
            <w:tcMar>
              <w:left w:w="58" w:type="dxa"/>
              <w:right w:w="58" w:type="dxa"/>
            </w:tcMar>
          </w:tcPr>
          <w:p w:rsidR="00DC2FB6" w:rsidRPr="009F6B9C" w:rsidRDefault="00DC2FB6" w:rsidP="001E1F6C">
            <w:pPr>
              <w:keepNext/>
              <w:keepLines/>
              <w:outlineLvl w:val="4"/>
              <w:rPr>
                <w:rFonts w:cs="Arial"/>
                <w:sz w:val="20"/>
                <w:szCs w:val="20"/>
              </w:rPr>
            </w:pPr>
          </w:p>
        </w:tc>
        <w:tc>
          <w:tcPr>
            <w:tcW w:w="1800" w:type="dxa"/>
            <w:tcBorders>
              <w:left w:val="single" w:sz="4" w:space="0" w:color="auto"/>
              <w:bottom w:val="single" w:sz="4" w:space="0" w:color="auto"/>
              <w:right w:val="single" w:sz="4" w:space="0" w:color="auto"/>
            </w:tcBorders>
            <w:tcMar>
              <w:left w:w="58" w:type="dxa"/>
              <w:right w:w="58" w:type="dxa"/>
            </w:tcMar>
          </w:tcPr>
          <w:p w:rsidR="00DC2FB6" w:rsidRPr="009F6B9C" w:rsidRDefault="00DC2FB6" w:rsidP="00DC2FB6">
            <w:pPr>
              <w:keepNext/>
              <w:keepLines/>
              <w:numPr>
                <w:ilvl w:val="0"/>
                <w:numId w:val="4"/>
              </w:numPr>
              <w:ind w:left="302" w:hanging="180"/>
              <w:outlineLvl w:val="4"/>
              <w:rPr>
                <w:rFonts w:cs="Arial"/>
                <w:bCs/>
                <w:sz w:val="20"/>
                <w:szCs w:val="20"/>
              </w:rPr>
            </w:pPr>
            <w:r w:rsidRPr="009F6B9C">
              <w:rPr>
                <w:rFonts w:cs="Arial"/>
                <w:bCs/>
                <w:sz w:val="20"/>
                <w:szCs w:val="20"/>
              </w:rPr>
              <w:t xml:space="preserve">IDAPA </w:t>
            </w:r>
            <w:r>
              <w:rPr>
                <w:rFonts w:cs="Arial"/>
                <w:bCs/>
                <w:sz w:val="20"/>
                <w:szCs w:val="20"/>
              </w:rPr>
              <w:br/>
            </w:r>
            <w:r w:rsidRPr="009F6B9C">
              <w:rPr>
                <w:rFonts w:cs="Arial"/>
                <w:bCs/>
                <w:sz w:val="20"/>
                <w:szCs w:val="20"/>
              </w:rPr>
              <w:t>58.01.02.852</w:t>
            </w:r>
          </w:p>
        </w:tc>
        <w:tc>
          <w:tcPr>
            <w:tcW w:w="3864" w:type="dxa"/>
            <w:tcBorders>
              <w:left w:val="single" w:sz="4" w:space="0" w:color="auto"/>
              <w:bottom w:val="single" w:sz="4" w:space="0" w:color="auto"/>
              <w:right w:val="single" w:sz="4" w:space="0" w:color="auto"/>
            </w:tcBorders>
            <w:tcMar>
              <w:left w:w="58" w:type="dxa"/>
              <w:right w:w="58" w:type="dxa"/>
            </w:tcMar>
          </w:tcPr>
          <w:p w:rsidR="00DC2FB6" w:rsidRPr="009F6B9C" w:rsidRDefault="00DC2FB6" w:rsidP="00DC2FB6">
            <w:pPr>
              <w:keepNext/>
              <w:keepLines/>
              <w:numPr>
                <w:ilvl w:val="0"/>
                <w:numId w:val="4"/>
              </w:numPr>
              <w:ind w:left="302" w:hanging="180"/>
              <w:outlineLvl w:val="4"/>
              <w:rPr>
                <w:rFonts w:cs="Arial"/>
                <w:bCs/>
                <w:sz w:val="20"/>
                <w:szCs w:val="20"/>
              </w:rPr>
            </w:pPr>
            <w:r w:rsidRPr="009F6B9C">
              <w:rPr>
                <w:rFonts w:cs="Arial"/>
                <w:bCs/>
                <w:sz w:val="20"/>
                <w:szCs w:val="20"/>
              </w:rPr>
              <w:t>Petroleum Release Response and Corrective Action</w:t>
            </w:r>
          </w:p>
        </w:tc>
        <w:tc>
          <w:tcPr>
            <w:tcW w:w="1028" w:type="dxa"/>
            <w:tcBorders>
              <w:left w:val="single" w:sz="4" w:space="0" w:color="auto"/>
              <w:bottom w:val="single" w:sz="4" w:space="0" w:color="auto"/>
              <w:right w:val="single" w:sz="4" w:space="0" w:color="auto"/>
            </w:tcBorders>
            <w:tcMar>
              <w:left w:w="58" w:type="dxa"/>
              <w:right w:w="58" w:type="dxa"/>
            </w:tcMar>
          </w:tcPr>
          <w:p w:rsidR="00DC2FB6" w:rsidRPr="009F6B9C" w:rsidRDefault="00DC2FB6" w:rsidP="001E1F6C">
            <w:pPr>
              <w:keepNext/>
              <w:keepLines/>
              <w:jc w:val="center"/>
              <w:outlineLvl w:val="4"/>
              <w:rPr>
                <w:rFonts w:cs="Arial"/>
                <w:bCs/>
                <w:sz w:val="20"/>
                <w:szCs w:val="20"/>
              </w:rPr>
            </w:pPr>
          </w:p>
        </w:tc>
      </w:tr>
      <w:tr w:rsidR="00DC2FB6" w:rsidRPr="00E505F0" w:rsidTr="001E1F6C">
        <w:trPr>
          <w:cantSplit/>
        </w:trPr>
        <w:tc>
          <w:tcPr>
            <w:tcW w:w="1948" w:type="dxa"/>
            <w:tcBorders>
              <w:top w:val="single" w:sz="4" w:space="0" w:color="auto"/>
              <w:left w:val="single" w:sz="4" w:space="0" w:color="auto"/>
              <w:bottom w:val="single" w:sz="4" w:space="0" w:color="auto"/>
              <w:right w:val="single" w:sz="4" w:space="0" w:color="auto"/>
            </w:tcBorders>
            <w:tcMar>
              <w:left w:w="58" w:type="dxa"/>
              <w:right w:w="58" w:type="dxa"/>
            </w:tcMar>
          </w:tcPr>
          <w:p w:rsidR="00DC2FB6" w:rsidRPr="00E505F0" w:rsidRDefault="00DC2FB6" w:rsidP="001E1F6C">
            <w:pPr>
              <w:keepNext/>
              <w:keepLines/>
              <w:outlineLvl w:val="4"/>
              <w:rPr>
                <w:rFonts w:cs="Arial"/>
                <w:bCs/>
                <w:sz w:val="20"/>
                <w:szCs w:val="20"/>
              </w:rPr>
            </w:pPr>
          </w:p>
        </w:tc>
        <w:tc>
          <w:tcPr>
            <w:tcW w:w="1800" w:type="dxa"/>
            <w:tcBorders>
              <w:top w:val="single" w:sz="4" w:space="0" w:color="auto"/>
              <w:left w:val="single" w:sz="4" w:space="0" w:color="auto"/>
              <w:bottom w:val="single" w:sz="4" w:space="0" w:color="auto"/>
              <w:right w:val="single" w:sz="4" w:space="0" w:color="auto"/>
            </w:tcBorders>
            <w:tcMar>
              <w:left w:w="58" w:type="dxa"/>
              <w:right w:w="58" w:type="dxa"/>
            </w:tcMar>
          </w:tcPr>
          <w:p w:rsidR="00DC2FB6" w:rsidRPr="00271F73" w:rsidRDefault="00DC2FB6" w:rsidP="001E1F6C">
            <w:pPr>
              <w:keepNext/>
              <w:keepLines/>
              <w:outlineLvl w:val="4"/>
              <w:rPr>
                <w:rFonts w:cs="Arial"/>
                <w:b/>
                <w:bCs/>
                <w:sz w:val="20"/>
                <w:szCs w:val="20"/>
              </w:rPr>
            </w:pPr>
            <w:r w:rsidRPr="00271F73">
              <w:rPr>
                <w:rFonts w:cs="Arial"/>
                <w:b/>
                <w:bCs/>
                <w:sz w:val="20"/>
                <w:szCs w:val="20"/>
              </w:rPr>
              <w:t>IDAPA 58.01.07</w:t>
            </w:r>
          </w:p>
        </w:tc>
        <w:tc>
          <w:tcPr>
            <w:tcW w:w="3864" w:type="dxa"/>
            <w:tcBorders>
              <w:top w:val="single" w:sz="4" w:space="0" w:color="auto"/>
              <w:left w:val="single" w:sz="4" w:space="0" w:color="auto"/>
              <w:bottom w:val="single" w:sz="4" w:space="0" w:color="auto"/>
              <w:right w:val="single" w:sz="4" w:space="0" w:color="auto"/>
            </w:tcBorders>
            <w:tcMar>
              <w:left w:w="58" w:type="dxa"/>
              <w:right w:w="58" w:type="dxa"/>
            </w:tcMar>
          </w:tcPr>
          <w:p w:rsidR="00DC2FB6" w:rsidRPr="00E505F0" w:rsidRDefault="00DC2FB6" w:rsidP="001E1F6C">
            <w:pPr>
              <w:keepNext/>
              <w:keepLines/>
              <w:outlineLvl w:val="4"/>
              <w:rPr>
                <w:rFonts w:cs="Arial"/>
                <w:bCs/>
                <w:sz w:val="20"/>
                <w:szCs w:val="20"/>
              </w:rPr>
            </w:pPr>
            <w:r>
              <w:rPr>
                <w:rFonts w:cs="Arial"/>
                <w:bCs/>
                <w:sz w:val="20"/>
                <w:szCs w:val="20"/>
              </w:rPr>
              <w:t xml:space="preserve">Rules Regulating </w:t>
            </w:r>
            <w:r w:rsidRPr="00E505F0">
              <w:rPr>
                <w:rFonts w:cs="Arial"/>
                <w:bCs/>
                <w:sz w:val="20"/>
                <w:szCs w:val="20"/>
              </w:rPr>
              <w:t xml:space="preserve">Underground Storage Tank </w:t>
            </w:r>
            <w:r>
              <w:rPr>
                <w:rFonts w:cs="Arial"/>
                <w:bCs/>
                <w:sz w:val="20"/>
                <w:szCs w:val="20"/>
              </w:rPr>
              <w:t>Systems</w:t>
            </w:r>
          </w:p>
        </w:tc>
        <w:tc>
          <w:tcPr>
            <w:tcW w:w="1028" w:type="dxa"/>
            <w:tcBorders>
              <w:top w:val="single" w:sz="4" w:space="0" w:color="auto"/>
              <w:left w:val="single" w:sz="4" w:space="0" w:color="auto"/>
              <w:bottom w:val="single" w:sz="4" w:space="0" w:color="auto"/>
              <w:right w:val="single" w:sz="4" w:space="0" w:color="auto"/>
            </w:tcBorders>
            <w:tcMar>
              <w:left w:w="58" w:type="dxa"/>
              <w:right w:w="58" w:type="dxa"/>
            </w:tcMar>
          </w:tcPr>
          <w:p w:rsidR="00DC2FB6" w:rsidRPr="00E505F0" w:rsidRDefault="00DC2FB6" w:rsidP="001E1F6C">
            <w:pPr>
              <w:keepNext/>
              <w:keepLines/>
              <w:jc w:val="center"/>
              <w:outlineLvl w:val="4"/>
              <w:rPr>
                <w:rFonts w:cs="Arial"/>
                <w:bCs/>
                <w:sz w:val="20"/>
                <w:szCs w:val="20"/>
              </w:rPr>
            </w:pPr>
            <w:r>
              <w:rPr>
                <w:rFonts w:cs="Arial"/>
                <w:bCs/>
                <w:sz w:val="20"/>
                <w:szCs w:val="20"/>
              </w:rPr>
              <w:t>A</w:t>
            </w:r>
          </w:p>
        </w:tc>
      </w:tr>
      <w:tr w:rsidR="00DC2FB6" w:rsidRPr="009F6B9C" w:rsidTr="001E1F6C">
        <w:trPr>
          <w:cantSplit/>
        </w:trPr>
        <w:tc>
          <w:tcPr>
            <w:tcW w:w="1948" w:type="dxa"/>
            <w:tcBorders>
              <w:top w:val="single" w:sz="4" w:space="0" w:color="auto"/>
              <w:left w:val="single" w:sz="4" w:space="0" w:color="auto"/>
              <w:bottom w:val="single" w:sz="4" w:space="0" w:color="auto"/>
              <w:right w:val="single" w:sz="4" w:space="0" w:color="auto"/>
            </w:tcBorders>
            <w:tcMar>
              <w:left w:w="58" w:type="dxa"/>
              <w:right w:w="58" w:type="dxa"/>
            </w:tcMar>
          </w:tcPr>
          <w:p w:rsidR="00DC2FB6" w:rsidRPr="009F6B9C" w:rsidRDefault="00DC2FB6" w:rsidP="001E1F6C">
            <w:pPr>
              <w:keepNext/>
              <w:keepLines/>
              <w:outlineLvl w:val="4"/>
              <w:rPr>
                <w:rFonts w:cs="Arial"/>
                <w:sz w:val="20"/>
                <w:szCs w:val="20"/>
              </w:rPr>
            </w:pPr>
          </w:p>
        </w:tc>
        <w:tc>
          <w:tcPr>
            <w:tcW w:w="1800" w:type="dxa"/>
            <w:tcBorders>
              <w:top w:val="single" w:sz="4" w:space="0" w:color="auto"/>
              <w:left w:val="single" w:sz="4" w:space="0" w:color="auto"/>
              <w:bottom w:val="single" w:sz="4" w:space="0" w:color="auto"/>
              <w:right w:val="single" w:sz="4" w:space="0" w:color="auto"/>
            </w:tcBorders>
            <w:tcMar>
              <w:left w:w="58" w:type="dxa"/>
              <w:right w:w="58" w:type="dxa"/>
            </w:tcMar>
          </w:tcPr>
          <w:p w:rsidR="00DC2FB6" w:rsidRPr="00271F73" w:rsidRDefault="00DC2FB6" w:rsidP="001E1F6C">
            <w:pPr>
              <w:keepNext/>
              <w:keepLines/>
              <w:outlineLvl w:val="4"/>
              <w:rPr>
                <w:rFonts w:cs="Arial"/>
                <w:b/>
                <w:bCs/>
                <w:sz w:val="20"/>
                <w:szCs w:val="20"/>
              </w:rPr>
            </w:pPr>
            <w:r w:rsidRPr="00271F73">
              <w:rPr>
                <w:rFonts w:cs="Arial"/>
                <w:b/>
                <w:bCs/>
                <w:sz w:val="20"/>
                <w:szCs w:val="20"/>
              </w:rPr>
              <w:t>IDAPA 58.01.18</w:t>
            </w:r>
          </w:p>
        </w:tc>
        <w:tc>
          <w:tcPr>
            <w:tcW w:w="3864" w:type="dxa"/>
            <w:tcBorders>
              <w:top w:val="single" w:sz="4" w:space="0" w:color="auto"/>
              <w:left w:val="single" w:sz="4" w:space="0" w:color="auto"/>
              <w:bottom w:val="single" w:sz="4" w:space="0" w:color="auto"/>
              <w:right w:val="single" w:sz="4" w:space="0" w:color="auto"/>
            </w:tcBorders>
            <w:tcMar>
              <w:left w:w="58" w:type="dxa"/>
              <w:right w:w="58" w:type="dxa"/>
            </w:tcMar>
          </w:tcPr>
          <w:p w:rsidR="00DC2FB6" w:rsidRPr="009F6B9C" w:rsidRDefault="00DC2FB6" w:rsidP="001E1F6C">
            <w:pPr>
              <w:keepNext/>
              <w:keepLines/>
              <w:outlineLvl w:val="4"/>
              <w:rPr>
                <w:rFonts w:cs="Arial"/>
                <w:bCs/>
                <w:sz w:val="20"/>
                <w:szCs w:val="20"/>
              </w:rPr>
            </w:pPr>
            <w:r>
              <w:rPr>
                <w:rFonts w:cs="Arial"/>
                <w:bCs/>
                <w:sz w:val="20"/>
                <w:szCs w:val="20"/>
              </w:rPr>
              <w:t>Idaho Land Remediation Rules</w:t>
            </w:r>
          </w:p>
        </w:tc>
        <w:tc>
          <w:tcPr>
            <w:tcW w:w="1028" w:type="dxa"/>
            <w:tcBorders>
              <w:top w:val="single" w:sz="4" w:space="0" w:color="auto"/>
              <w:left w:val="single" w:sz="4" w:space="0" w:color="auto"/>
              <w:bottom w:val="single" w:sz="4" w:space="0" w:color="auto"/>
              <w:right w:val="single" w:sz="4" w:space="0" w:color="auto"/>
            </w:tcBorders>
            <w:tcMar>
              <w:left w:w="58" w:type="dxa"/>
              <w:right w:w="58" w:type="dxa"/>
            </w:tcMar>
          </w:tcPr>
          <w:p w:rsidR="00DC2FB6" w:rsidRDefault="00DC2FB6" w:rsidP="001E1F6C">
            <w:pPr>
              <w:keepNext/>
              <w:keepLines/>
              <w:jc w:val="center"/>
              <w:outlineLvl w:val="4"/>
              <w:rPr>
                <w:rFonts w:cs="Arial"/>
                <w:bCs/>
                <w:sz w:val="20"/>
                <w:szCs w:val="20"/>
              </w:rPr>
            </w:pPr>
            <w:r>
              <w:rPr>
                <w:rFonts w:cs="Arial"/>
                <w:bCs/>
                <w:sz w:val="20"/>
                <w:szCs w:val="20"/>
              </w:rPr>
              <w:t>A</w:t>
            </w:r>
          </w:p>
        </w:tc>
      </w:tr>
      <w:tr w:rsidR="00DC2FB6" w:rsidRPr="009F6B9C" w:rsidTr="001E1F6C">
        <w:trPr>
          <w:cantSplit/>
        </w:trPr>
        <w:tc>
          <w:tcPr>
            <w:tcW w:w="1948" w:type="dxa"/>
            <w:tcBorders>
              <w:top w:val="single" w:sz="4" w:space="0" w:color="auto"/>
              <w:left w:val="single" w:sz="4" w:space="0" w:color="auto"/>
              <w:bottom w:val="single" w:sz="4" w:space="0" w:color="auto"/>
              <w:right w:val="single" w:sz="4" w:space="0" w:color="auto"/>
            </w:tcBorders>
            <w:tcMar>
              <w:left w:w="58" w:type="dxa"/>
              <w:right w:w="58" w:type="dxa"/>
            </w:tcMar>
          </w:tcPr>
          <w:p w:rsidR="00DC2FB6" w:rsidRPr="009F6B9C" w:rsidRDefault="00DC2FB6" w:rsidP="001E1F6C">
            <w:pPr>
              <w:keepNext/>
              <w:keepLines/>
              <w:outlineLvl w:val="4"/>
              <w:rPr>
                <w:rFonts w:cs="Arial"/>
                <w:sz w:val="20"/>
                <w:szCs w:val="20"/>
              </w:rPr>
            </w:pPr>
          </w:p>
        </w:tc>
        <w:tc>
          <w:tcPr>
            <w:tcW w:w="1800" w:type="dxa"/>
            <w:tcBorders>
              <w:top w:val="single" w:sz="4" w:space="0" w:color="auto"/>
              <w:left w:val="single" w:sz="4" w:space="0" w:color="auto"/>
              <w:bottom w:val="single" w:sz="4" w:space="0" w:color="auto"/>
              <w:right w:val="single" w:sz="4" w:space="0" w:color="auto"/>
            </w:tcBorders>
            <w:tcMar>
              <w:left w:w="58" w:type="dxa"/>
              <w:right w:w="58" w:type="dxa"/>
            </w:tcMar>
          </w:tcPr>
          <w:p w:rsidR="00DC2FB6" w:rsidRPr="00271F73" w:rsidRDefault="00DC2FB6" w:rsidP="001E1F6C">
            <w:pPr>
              <w:keepNext/>
              <w:keepLines/>
              <w:outlineLvl w:val="4"/>
              <w:rPr>
                <w:rFonts w:cs="Arial"/>
                <w:b/>
                <w:bCs/>
                <w:sz w:val="20"/>
                <w:szCs w:val="20"/>
              </w:rPr>
            </w:pPr>
            <w:r w:rsidRPr="00271F73">
              <w:rPr>
                <w:rFonts w:cs="Arial"/>
                <w:b/>
                <w:bCs/>
                <w:sz w:val="20"/>
                <w:szCs w:val="20"/>
              </w:rPr>
              <w:t>IDAPA 58.01.23</w:t>
            </w:r>
          </w:p>
        </w:tc>
        <w:tc>
          <w:tcPr>
            <w:tcW w:w="3864" w:type="dxa"/>
            <w:tcBorders>
              <w:top w:val="single" w:sz="4" w:space="0" w:color="auto"/>
              <w:left w:val="single" w:sz="4" w:space="0" w:color="auto"/>
              <w:bottom w:val="single" w:sz="4" w:space="0" w:color="auto"/>
              <w:right w:val="single" w:sz="4" w:space="0" w:color="auto"/>
            </w:tcBorders>
            <w:tcMar>
              <w:left w:w="58" w:type="dxa"/>
              <w:right w:w="58" w:type="dxa"/>
            </w:tcMar>
          </w:tcPr>
          <w:p w:rsidR="00DC2FB6" w:rsidRPr="009F6B9C" w:rsidRDefault="00DC2FB6" w:rsidP="001E1F6C">
            <w:pPr>
              <w:keepNext/>
              <w:keepLines/>
              <w:outlineLvl w:val="4"/>
              <w:rPr>
                <w:rFonts w:cs="Arial"/>
                <w:bCs/>
                <w:sz w:val="20"/>
                <w:szCs w:val="20"/>
              </w:rPr>
            </w:pPr>
            <w:r>
              <w:rPr>
                <w:rFonts w:cs="Arial"/>
                <w:bCs/>
                <w:sz w:val="20"/>
                <w:szCs w:val="20"/>
              </w:rPr>
              <w:t>Rules of Administrative Procedure before the Board of Environmental Quality</w:t>
            </w:r>
          </w:p>
        </w:tc>
        <w:tc>
          <w:tcPr>
            <w:tcW w:w="1028" w:type="dxa"/>
            <w:tcBorders>
              <w:top w:val="single" w:sz="4" w:space="0" w:color="auto"/>
              <w:left w:val="single" w:sz="4" w:space="0" w:color="auto"/>
              <w:bottom w:val="single" w:sz="4" w:space="0" w:color="auto"/>
              <w:right w:val="single" w:sz="4" w:space="0" w:color="auto"/>
            </w:tcBorders>
            <w:tcMar>
              <w:left w:w="58" w:type="dxa"/>
              <w:right w:w="58" w:type="dxa"/>
            </w:tcMar>
          </w:tcPr>
          <w:p w:rsidR="00DC2FB6" w:rsidRDefault="00DC2FB6" w:rsidP="001E1F6C">
            <w:pPr>
              <w:keepNext/>
              <w:keepLines/>
              <w:jc w:val="center"/>
              <w:outlineLvl w:val="4"/>
              <w:rPr>
                <w:rFonts w:cs="Arial"/>
                <w:bCs/>
                <w:sz w:val="20"/>
                <w:szCs w:val="20"/>
              </w:rPr>
            </w:pPr>
            <w:r>
              <w:rPr>
                <w:rFonts w:cs="Arial"/>
                <w:bCs/>
                <w:sz w:val="20"/>
                <w:szCs w:val="20"/>
              </w:rPr>
              <w:t>A</w:t>
            </w:r>
          </w:p>
        </w:tc>
      </w:tr>
      <w:tr w:rsidR="00DC2FB6" w:rsidRPr="009F6B9C" w:rsidTr="001E1F6C">
        <w:trPr>
          <w:cantSplit/>
        </w:trPr>
        <w:tc>
          <w:tcPr>
            <w:tcW w:w="1948" w:type="dxa"/>
            <w:tcBorders>
              <w:top w:val="single" w:sz="4" w:space="0" w:color="auto"/>
              <w:left w:val="single" w:sz="4" w:space="0" w:color="auto"/>
              <w:bottom w:val="single" w:sz="4" w:space="0" w:color="auto"/>
              <w:right w:val="single" w:sz="4" w:space="0" w:color="auto"/>
            </w:tcBorders>
            <w:tcMar>
              <w:left w:w="58" w:type="dxa"/>
              <w:right w:w="58" w:type="dxa"/>
            </w:tcMar>
          </w:tcPr>
          <w:p w:rsidR="00DC2FB6" w:rsidRPr="009F6B9C" w:rsidRDefault="00DC2FB6" w:rsidP="001E1F6C">
            <w:pPr>
              <w:keepNext/>
              <w:keepLines/>
              <w:outlineLvl w:val="4"/>
              <w:rPr>
                <w:rFonts w:cs="Arial"/>
                <w:sz w:val="20"/>
                <w:szCs w:val="20"/>
              </w:rPr>
            </w:pPr>
          </w:p>
        </w:tc>
        <w:tc>
          <w:tcPr>
            <w:tcW w:w="1800" w:type="dxa"/>
            <w:tcBorders>
              <w:top w:val="single" w:sz="4" w:space="0" w:color="auto"/>
              <w:left w:val="single" w:sz="4" w:space="0" w:color="auto"/>
              <w:bottom w:val="single" w:sz="4" w:space="0" w:color="auto"/>
              <w:right w:val="single" w:sz="4" w:space="0" w:color="auto"/>
            </w:tcBorders>
            <w:tcMar>
              <w:left w:w="58" w:type="dxa"/>
              <w:right w:w="58" w:type="dxa"/>
            </w:tcMar>
          </w:tcPr>
          <w:p w:rsidR="00DC2FB6" w:rsidRPr="00271F73" w:rsidRDefault="00DC2FB6" w:rsidP="001E1F6C">
            <w:pPr>
              <w:keepNext/>
              <w:keepLines/>
              <w:outlineLvl w:val="4"/>
              <w:rPr>
                <w:rFonts w:cs="Arial"/>
                <w:b/>
                <w:bCs/>
                <w:sz w:val="20"/>
                <w:szCs w:val="20"/>
              </w:rPr>
            </w:pPr>
            <w:r w:rsidRPr="00271F73">
              <w:rPr>
                <w:rFonts w:cs="Arial"/>
                <w:b/>
                <w:bCs/>
                <w:sz w:val="20"/>
                <w:szCs w:val="20"/>
              </w:rPr>
              <w:t>IDAPA 58.01.24</w:t>
            </w:r>
          </w:p>
        </w:tc>
        <w:tc>
          <w:tcPr>
            <w:tcW w:w="3864" w:type="dxa"/>
            <w:tcBorders>
              <w:top w:val="single" w:sz="4" w:space="0" w:color="auto"/>
              <w:left w:val="single" w:sz="4" w:space="0" w:color="auto"/>
              <w:bottom w:val="single" w:sz="4" w:space="0" w:color="auto"/>
              <w:right w:val="single" w:sz="4" w:space="0" w:color="auto"/>
            </w:tcBorders>
            <w:tcMar>
              <w:left w:w="58" w:type="dxa"/>
              <w:right w:w="58" w:type="dxa"/>
            </w:tcMar>
          </w:tcPr>
          <w:p w:rsidR="00DC2FB6" w:rsidRPr="009F6B9C" w:rsidRDefault="00DC2FB6" w:rsidP="001E1F6C">
            <w:pPr>
              <w:keepNext/>
              <w:keepLines/>
              <w:outlineLvl w:val="4"/>
              <w:rPr>
                <w:rFonts w:cs="Arial"/>
                <w:bCs/>
                <w:sz w:val="20"/>
                <w:szCs w:val="20"/>
              </w:rPr>
            </w:pPr>
            <w:r w:rsidRPr="009F6B9C">
              <w:rPr>
                <w:rFonts w:cs="Arial"/>
                <w:bCs/>
                <w:sz w:val="20"/>
                <w:szCs w:val="20"/>
              </w:rPr>
              <w:t>Standards and Procedures for Application of Risk Based Corrective Action at Petroleum Release Sites</w:t>
            </w:r>
          </w:p>
        </w:tc>
        <w:tc>
          <w:tcPr>
            <w:tcW w:w="1028" w:type="dxa"/>
            <w:tcBorders>
              <w:top w:val="single" w:sz="4" w:space="0" w:color="auto"/>
              <w:left w:val="single" w:sz="4" w:space="0" w:color="auto"/>
              <w:bottom w:val="single" w:sz="4" w:space="0" w:color="auto"/>
              <w:right w:val="single" w:sz="4" w:space="0" w:color="auto"/>
            </w:tcBorders>
            <w:tcMar>
              <w:left w:w="58" w:type="dxa"/>
              <w:right w:w="58" w:type="dxa"/>
            </w:tcMar>
          </w:tcPr>
          <w:p w:rsidR="00DC2FB6" w:rsidRPr="009F6B9C" w:rsidRDefault="00DC2FB6" w:rsidP="001E1F6C">
            <w:pPr>
              <w:keepNext/>
              <w:keepLines/>
              <w:jc w:val="center"/>
              <w:outlineLvl w:val="4"/>
              <w:rPr>
                <w:rFonts w:cs="Arial"/>
                <w:bCs/>
                <w:sz w:val="20"/>
                <w:szCs w:val="20"/>
              </w:rPr>
            </w:pPr>
            <w:r>
              <w:rPr>
                <w:rFonts w:cs="Arial"/>
                <w:bCs/>
                <w:sz w:val="20"/>
                <w:szCs w:val="20"/>
              </w:rPr>
              <w:t>A</w:t>
            </w:r>
          </w:p>
        </w:tc>
      </w:tr>
      <w:tr w:rsidR="00DC2FB6" w:rsidRPr="00E505F0" w:rsidTr="001E1F6C">
        <w:trPr>
          <w:cantSplit/>
        </w:trPr>
        <w:tc>
          <w:tcPr>
            <w:tcW w:w="1948" w:type="dxa"/>
            <w:tcBorders>
              <w:top w:val="single" w:sz="4" w:space="0" w:color="auto"/>
              <w:left w:val="single" w:sz="4" w:space="0" w:color="auto"/>
              <w:right w:val="single" w:sz="4" w:space="0" w:color="auto"/>
            </w:tcBorders>
            <w:tcMar>
              <w:left w:w="58" w:type="dxa"/>
              <w:right w:w="58" w:type="dxa"/>
            </w:tcMar>
          </w:tcPr>
          <w:p w:rsidR="00DC2FB6" w:rsidRPr="00271F73" w:rsidRDefault="00DC2FB6" w:rsidP="001E1F6C">
            <w:pPr>
              <w:keepNext/>
              <w:keepLines/>
              <w:outlineLvl w:val="4"/>
              <w:rPr>
                <w:rFonts w:cs="Arial"/>
                <w:b/>
                <w:bCs/>
                <w:sz w:val="20"/>
                <w:szCs w:val="20"/>
              </w:rPr>
            </w:pPr>
            <w:r w:rsidRPr="00271F73">
              <w:rPr>
                <w:rFonts w:cs="Arial"/>
                <w:b/>
                <w:bCs/>
                <w:sz w:val="20"/>
                <w:szCs w:val="20"/>
              </w:rPr>
              <w:t xml:space="preserve">Idaho Code </w:t>
            </w:r>
            <w:r w:rsidRPr="00271F73">
              <w:rPr>
                <w:rFonts w:cs="Arial"/>
                <w:b/>
                <w:bCs/>
                <w:sz w:val="20"/>
                <w:szCs w:val="20"/>
              </w:rPr>
              <w:br/>
              <w:t>Title 39 Chapter 1</w:t>
            </w:r>
          </w:p>
        </w:tc>
        <w:tc>
          <w:tcPr>
            <w:tcW w:w="1800" w:type="dxa"/>
            <w:tcBorders>
              <w:top w:val="single" w:sz="4" w:space="0" w:color="auto"/>
              <w:left w:val="single" w:sz="4" w:space="0" w:color="auto"/>
              <w:right w:val="single" w:sz="4" w:space="0" w:color="auto"/>
            </w:tcBorders>
            <w:tcMar>
              <w:left w:w="58" w:type="dxa"/>
              <w:right w:w="58" w:type="dxa"/>
            </w:tcMar>
          </w:tcPr>
          <w:p w:rsidR="00DC2FB6" w:rsidRPr="00E505F0" w:rsidRDefault="00DC2FB6" w:rsidP="001E1F6C">
            <w:pPr>
              <w:keepNext/>
              <w:keepLines/>
              <w:outlineLvl w:val="4"/>
              <w:rPr>
                <w:rFonts w:cs="Arial"/>
                <w:b/>
                <w:bCs/>
                <w:sz w:val="20"/>
                <w:szCs w:val="20"/>
              </w:rPr>
            </w:pPr>
          </w:p>
        </w:tc>
        <w:tc>
          <w:tcPr>
            <w:tcW w:w="3864" w:type="dxa"/>
            <w:tcBorders>
              <w:top w:val="single" w:sz="4" w:space="0" w:color="auto"/>
              <w:left w:val="single" w:sz="4" w:space="0" w:color="auto"/>
              <w:right w:val="single" w:sz="4" w:space="0" w:color="auto"/>
            </w:tcBorders>
            <w:tcMar>
              <w:left w:w="58" w:type="dxa"/>
              <w:right w:w="58" w:type="dxa"/>
            </w:tcMar>
          </w:tcPr>
          <w:p w:rsidR="00DC2FB6" w:rsidRPr="00E505F0" w:rsidRDefault="00DC2FB6" w:rsidP="001E1F6C">
            <w:pPr>
              <w:keepNext/>
              <w:keepLines/>
              <w:outlineLvl w:val="4"/>
              <w:rPr>
                <w:rFonts w:cs="Arial"/>
                <w:bCs/>
                <w:sz w:val="20"/>
                <w:szCs w:val="20"/>
              </w:rPr>
            </w:pPr>
            <w:r w:rsidRPr="00E505F0">
              <w:rPr>
                <w:sz w:val="20"/>
                <w:szCs w:val="20"/>
              </w:rPr>
              <w:t>Idaho Environmental Protection and Health Act</w:t>
            </w:r>
          </w:p>
        </w:tc>
        <w:tc>
          <w:tcPr>
            <w:tcW w:w="1028" w:type="dxa"/>
            <w:tcBorders>
              <w:top w:val="single" w:sz="4" w:space="0" w:color="auto"/>
              <w:left w:val="single" w:sz="4" w:space="0" w:color="auto"/>
              <w:right w:val="single" w:sz="4" w:space="0" w:color="auto"/>
            </w:tcBorders>
            <w:tcMar>
              <w:left w:w="58" w:type="dxa"/>
              <w:right w:w="58" w:type="dxa"/>
            </w:tcMar>
          </w:tcPr>
          <w:p w:rsidR="00DC2FB6" w:rsidRPr="00E505F0" w:rsidRDefault="00DC2FB6" w:rsidP="001E1F6C">
            <w:pPr>
              <w:keepNext/>
              <w:keepLines/>
              <w:jc w:val="center"/>
              <w:outlineLvl w:val="4"/>
              <w:rPr>
                <w:sz w:val="20"/>
                <w:szCs w:val="20"/>
              </w:rPr>
            </w:pPr>
            <w:r>
              <w:rPr>
                <w:sz w:val="20"/>
                <w:szCs w:val="20"/>
              </w:rPr>
              <w:t>B</w:t>
            </w:r>
          </w:p>
        </w:tc>
      </w:tr>
      <w:tr w:rsidR="00DC2FB6" w:rsidRPr="009F6B9C" w:rsidTr="001E1F6C">
        <w:trPr>
          <w:cantSplit/>
        </w:trPr>
        <w:tc>
          <w:tcPr>
            <w:tcW w:w="1948" w:type="dxa"/>
            <w:tcBorders>
              <w:left w:val="single" w:sz="4" w:space="0" w:color="auto"/>
              <w:right w:val="single" w:sz="4" w:space="0" w:color="auto"/>
            </w:tcBorders>
            <w:tcMar>
              <w:left w:w="58" w:type="dxa"/>
              <w:right w:w="58" w:type="dxa"/>
            </w:tcMar>
          </w:tcPr>
          <w:p w:rsidR="00DC2FB6" w:rsidRPr="00E505F0" w:rsidRDefault="00DC2FB6" w:rsidP="00DC2FB6">
            <w:pPr>
              <w:keepNext/>
              <w:keepLines/>
              <w:numPr>
                <w:ilvl w:val="0"/>
                <w:numId w:val="4"/>
              </w:numPr>
              <w:ind w:left="302" w:hanging="180"/>
              <w:outlineLvl w:val="4"/>
              <w:rPr>
                <w:rFonts w:cs="Arial"/>
                <w:bCs/>
                <w:sz w:val="20"/>
                <w:szCs w:val="20"/>
              </w:rPr>
            </w:pPr>
            <w:r w:rsidRPr="00E505F0">
              <w:rPr>
                <w:rFonts w:cs="Arial"/>
                <w:bCs/>
                <w:sz w:val="20"/>
                <w:szCs w:val="20"/>
              </w:rPr>
              <w:t xml:space="preserve">Idaho Code </w:t>
            </w:r>
            <w:r w:rsidRPr="00E505F0">
              <w:rPr>
                <w:rFonts w:cs="Arial"/>
                <w:bCs/>
                <w:sz w:val="20"/>
                <w:szCs w:val="20"/>
              </w:rPr>
              <w:br/>
            </w:r>
            <w:r w:rsidRPr="00E505F0">
              <w:rPr>
                <w:rFonts w:cs="Arial"/>
                <w:sz w:val="20"/>
                <w:szCs w:val="20"/>
              </w:rPr>
              <w:t>§ 39-107</w:t>
            </w:r>
          </w:p>
        </w:tc>
        <w:tc>
          <w:tcPr>
            <w:tcW w:w="1800" w:type="dxa"/>
            <w:tcBorders>
              <w:left w:val="single" w:sz="4" w:space="0" w:color="auto"/>
              <w:right w:val="single" w:sz="4" w:space="0" w:color="auto"/>
            </w:tcBorders>
            <w:tcMar>
              <w:left w:w="58" w:type="dxa"/>
              <w:right w:w="58" w:type="dxa"/>
            </w:tcMar>
          </w:tcPr>
          <w:p w:rsidR="00DC2FB6" w:rsidRPr="00E505F0" w:rsidRDefault="00DC2FB6" w:rsidP="001E1F6C">
            <w:pPr>
              <w:outlineLvl w:val="4"/>
              <w:rPr>
                <w:rFonts w:cs="Arial"/>
                <w:bCs/>
                <w:sz w:val="20"/>
                <w:szCs w:val="20"/>
              </w:rPr>
            </w:pPr>
          </w:p>
        </w:tc>
        <w:tc>
          <w:tcPr>
            <w:tcW w:w="3864" w:type="dxa"/>
            <w:tcBorders>
              <w:left w:val="single" w:sz="4" w:space="0" w:color="auto"/>
              <w:right w:val="single" w:sz="4" w:space="0" w:color="auto"/>
            </w:tcBorders>
            <w:tcMar>
              <w:left w:w="58" w:type="dxa"/>
              <w:right w:w="58" w:type="dxa"/>
            </w:tcMar>
          </w:tcPr>
          <w:p w:rsidR="00DC2FB6" w:rsidRPr="00E505F0" w:rsidRDefault="00DC2FB6" w:rsidP="00DC2FB6">
            <w:pPr>
              <w:keepNext/>
              <w:keepLines/>
              <w:numPr>
                <w:ilvl w:val="0"/>
                <w:numId w:val="4"/>
              </w:numPr>
              <w:ind w:left="302" w:hanging="180"/>
              <w:outlineLvl w:val="4"/>
              <w:rPr>
                <w:rFonts w:cs="Arial"/>
                <w:bCs/>
                <w:sz w:val="20"/>
                <w:szCs w:val="20"/>
              </w:rPr>
            </w:pPr>
            <w:r w:rsidRPr="00E505F0">
              <w:rPr>
                <w:rFonts w:cs="Arial"/>
                <w:bCs/>
                <w:sz w:val="20"/>
                <w:szCs w:val="20"/>
              </w:rPr>
              <w:t>The composition of the Department’s Board and rule-making powers</w:t>
            </w:r>
          </w:p>
        </w:tc>
        <w:tc>
          <w:tcPr>
            <w:tcW w:w="1028" w:type="dxa"/>
            <w:tcBorders>
              <w:left w:val="single" w:sz="4" w:space="0" w:color="auto"/>
              <w:right w:val="single" w:sz="4" w:space="0" w:color="auto"/>
            </w:tcBorders>
            <w:tcMar>
              <w:left w:w="58" w:type="dxa"/>
              <w:right w:w="58" w:type="dxa"/>
            </w:tcMar>
          </w:tcPr>
          <w:p w:rsidR="00DC2FB6" w:rsidRPr="009F6B9C" w:rsidRDefault="00DC2FB6" w:rsidP="001E1F6C">
            <w:pPr>
              <w:jc w:val="center"/>
              <w:outlineLvl w:val="4"/>
              <w:rPr>
                <w:rFonts w:cs="Arial"/>
                <w:bCs/>
                <w:sz w:val="20"/>
                <w:szCs w:val="20"/>
              </w:rPr>
            </w:pPr>
          </w:p>
        </w:tc>
      </w:tr>
      <w:tr w:rsidR="00DC2FB6" w:rsidRPr="009F6B9C" w:rsidTr="001E1F6C">
        <w:trPr>
          <w:cantSplit/>
        </w:trPr>
        <w:tc>
          <w:tcPr>
            <w:tcW w:w="1948" w:type="dxa"/>
            <w:tcBorders>
              <w:left w:val="single" w:sz="4" w:space="0" w:color="auto"/>
              <w:right w:val="single" w:sz="4" w:space="0" w:color="auto"/>
            </w:tcBorders>
            <w:tcMar>
              <w:left w:w="58" w:type="dxa"/>
              <w:right w:w="58" w:type="dxa"/>
            </w:tcMar>
          </w:tcPr>
          <w:p w:rsidR="00DC2FB6" w:rsidRPr="009F6B9C" w:rsidRDefault="00DC2FB6" w:rsidP="00DC2FB6">
            <w:pPr>
              <w:keepNext/>
              <w:keepLines/>
              <w:numPr>
                <w:ilvl w:val="0"/>
                <w:numId w:val="4"/>
              </w:numPr>
              <w:ind w:left="302" w:hanging="180"/>
              <w:outlineLvl w:val="4"/>
              <w:rPr>
                <w:rFonts w:cs="Arial"/>
                <w:bCs/>
                <w:sz w:val="20"/>
                <w:szCs w:val="20"/>
              </w:rPr>
            </w:pPr>
            <w:r w:rsidRPr="009F6B9C">
              <w:rPr>
                <w:rFonts w:cs="Arial"/>
                <w:bCs/>
                <w:sz w:val="20"/>
                <w:szCs w:val="20"/>
              </w:rPr>
              <w:t xml:space="preserve">Idaho Code </w:t>
            </w:r>
            <w:r w:rsidRPr="009F6B9C">
              <w:rPr>
                <w:rFonts w:cs="Arial"/>
                <w:bCs/>
                <w:sz w:val="20"/>
                <w:szCs w:val="20"/>
              </w:rPr>
              <w:br/>
            </w:r>
            <w:r w:rsidRPr="009F6B9C">
              <w:rPr>
                <w:rFonts w:cs="Arial"/>
                <w:sz w:val="20"/>
                <w:szCs w:val="20"/>
              </w:rPr>
              <w:t xml:space="preserve">§ </w:t>
            </w:r>
            <w:r w:rsidRPr="0063314C">
              <w:rPr>
                <w:rFonts w:cs="Arial"/>
                <w:bCs/>
                <w:sz w:val="20"/>
                <w:szCs w:val="20"/>
              </w:rPr>
              <w:t>39</w:t>
            </w:r>
            <w:r w:rsidRPr="009F6B9C">
              <w:rPr>
                <w:rFonts w:cs="Arial"/>
                <w:sz w:val="20"/>
                <w:szCs w:val="20"/>
              </w:rPr>
              <w:t>-108</w:t>
            </w:r>
          </w:p>
        </w:tc>
        <w:tc>
          <w:tcPr>
            <w:tcW w:w="1800" w:type="dxa"/>
            <w:tcBorders>
              <w:left w:val="single" w:sz="4" w:space="0" w:color="auto"/>
              <w:right w:val="single" w:sz="4" w:space="0" w:color="auto"/>
            </w:tcBorders>
            <w:tcMar>
              <w:left w:w="58" w:type="dxa"/>
              <w:right w:w="58" w:type="dxa"/>
            </w:tcMar>
          </w:tcPr>
          <w:p w:rsidR="00DC2FB6" w:rsidRPr="009F6B9C" w:rsidRDefault="00DC2FB6" w:rsidP="001E1F6C">
            <w:pPr>
              <w:outlineLvl w:val="4"/>
              <w:rPr>
                <w:rFonts w:cs="Arial"/>
                <w:bCs/>
                <w:sz w:val="20"/>
                <w:szCs w:val="20"/>
              </w:rPr>
            </w:pPr>
          </w:p>
        </w:tc>
        <w:tc>
          <w:tcPr>
            <w:tcW w:w="3864" w:type="dxa"/>
            <w:tcBorders>
              <w:left w:val="single" w:sz="4" w:space="0" w:color="auto"/>
              <w:right w:val="single" w:sz="4" w:space="0" w:color="auto"/>
            </w:tcBorders>
            <w:tcMar>
              <w:left w:w="58" w:type="dxa"/>
              <w:right w:w="58" w:type="dxa"/>
            </w:tcMar>
          </w:tcPr>
          <w:p w:rsidR="00DC2FB6" w:rsidRPr="009F6B9C" w:rsidRDefault="00DC2FB6" w:rsidP="00DC2FB6">
            <w:pPr>
              <w:keepNext/>
              <w:keepLines/>
              <w:numPr>
                <w:ilvl w:val="0"/>
                <w:numId w:val="4"/>
              </w:numPr>
              <w:ind w:left="302" w:hanging="180"/>
              <w:outlineLvl w:val="4"/>
              <w:rPr>
                <w:rFonts w:cs="Arial"/>
                <w:bCs/>
                <w:sz w:val="20"/>
                <w:szCs w:val="20"/>
              </w:rPr>
            </w:pPr>
            <w:r w:rsidRPr="009F6B9C">
              <w:rPr>
                <w:rFonts w:cs="Arial"/>
                <w:bCs/>
                <w:sz w:val="20"/>
                <w:szCs w:val="20"/>
              </w:rPr>
              <w:t xml:space="preserve">Investigation, Inspection, Right of Entry, Violation, Enforcement, Penalty, Injunctions </w:t>
            </w:r>
          </w:p>
        </w:tc>
        <w:tc>
          <w:tcPr>
            <w:tcW w:w="1028" w:type="dxa"/>
            <w:tcBorders>
              <w:left w:val="single" w:sz="4" w:space="0" w:color="auto"/>
              <w:right w:val="single" w:sz="4" w:space="0" w:color="auto"/>
            </w:tcBorders>
            <w:tcMar>
              <w:left w:w="58" w:type="dxa"/>
              <w:right w:w="58" w:type="dxa"/>
            </w:tcMar>
          </w:tcPr>
          <w:p w:rsidR="00DC2FB6" w:rsidRPr="009F6B9C" w:rsidRDefault="00DC2FB6" w:rsidP="001E1F6C">
            <w:pPr>
              <w:jc w:val="center"/>
              <w:outlineLvl w:val="4"/>
              <w:rPr>
                <w:rFonts w:cs="Arial"/>
                <w:bCs/>
                <w:sz w:val="20"/>
                <w:szCs w:val="20"/>
              </w:rPr>
            </w:pPr>
          </w:p>
        </w:tc>
      </w:tr>
      <w:tr w:rsidR="00DC2FB6" w:rsidRPr="009F6B9C" w:rsidTr="001E1F6C">
        <w:trPr>
          <w:cantSplit/>
          <w:trHeight w:val="70"/>
        </w:trPr>
        <w:tc>
          <w:tcPr>
            <w:tcW w:w="1948" w:type="dxa"/>
            <w:tcBorders>
              <w:left w:val="single" w:sz="4" w:space="0" w:color="auto"/>
              <w:bottom w:val="single" w:sz="4" w:space="0" w:color="auto"/>
              <w:right w:val="single" w:sz="4" w:space="0" w:color="auto"/>
            </w:tcBorders>
            <w:tcMar>
              <w:left w:w="58" w:type="dxa"/>
              <w:right w:w="58" w:type="dxa"/>
            </w:tcMar>
          </w:tcPr>
          <w:p w:rsidR="00DC2FB6" w:rsidRPr="00271F73" w:rsidRDefault="00DC2FB6" w:rsidP="00DC2FB6">
            <w:pPr>
              <w:keepNext/>
              <w:keepLines/>
              <w:numPr>
                <w:ilvl w:val="0"/>
                <w:numId w:val="4"/>
              </w:numPr>
              <w:ind w:left="302" w:hanging="180"/>
              <w:outlineLvl w:val="4"/>
              <w:rPr>
                <w:rFonts w:cs="Arial"/>
                <w:sz w:val="20"/>
                <w:szCs w:val="20"/>
              </w:rPr>
            </w:pPr>
            <w:r w:rsidRPr="009F6B9C">
              <w:rPr>
                <w:rFonts w:cs="Arial"/>
                <w:sz w:val="20"/>
                <w:szCs w:val="20"/>
              </w:rPr>
              <w:t xml:space="preserve">Idaho Code </w:t>
            </w:r>
            <w:r w:rsidRPr="009F6B9C">
              <w:rPr>
                <w:rFonts w:cs="Arial"/>
                <w:sz w:val="20"/>
                <w:szCs w:val="20"/>
              </w:rPr>
              <w:br/>
              <w:t>§ 39-109</w:t>
            </w:r>
          </w:p>
        </w:tc>
        <w:tc>
          <w:tcPr>
            <w:tcW w:w="1800" w:type="dxa"/>
            <w:tcBorders>
              <w:left w:val="single" w:sz="4" w:space="0" w:color="auto"/>
              <w:bottom w:val="single" w:sz="4" w:space="0" w:color="auto"/>
              <w:right w:val="single" w:sz="4" w:space="0" w:color="auto"/>
            </w:tcBorders>
            <w:tcMar>
              <w:left w:w="58" w:type="dxa"/>
              <w:right w:w="58" w:type="dxa"/>
            </w:tcMar>
          </w:tcPr>
          <w:p w:rsidR="00DC2FB6" w:rsidRPr="009F6B9C" w:rsidRDefault="00DC2FB6" w:rsidP="001E1F6C">
            <w:pPr>
              <w:outlineLvl w:val="4"/>
              <w:rPr>
                <w:rFonts w:cs="Arial"/>
                <w:bCs/>
                <w:sz w:val="20"/>
                <w:szCs w:val="20"/>
              </w:rPr>
            </w:pPr>
          </w:p>
        </w:tc>
        <w:tc>
          <w:tcPr>
            <w:tcW w:w="3864" w:type="dxa"/>
            <w:tcBorders>
              <w:left w:val="single" w:sz="4" w:space="0" w:color="auto"/>
              <w:bottom w:val="single" w:sz="4" w:space="0" w:color="auto"/>
              <w:right w:val="single" w:sz="4" w:space="0" w:color="auto"/>
            </w:tcBorders>
            <w:tcMar>
              <w:left w:w="58" w:type="dxa"/>
              <w:right w:w="58" w:type="dxa"/>
            </w:tcMar>
          </w:tcPr>
          <w:p w:rsidR="00DC2FB6" w:rsidRPr="009F6B9C" w:rsidRDefault="00DC2FB6" w:rsidP="00DC2FB6">
            <w:pPr>
              <w:keepNext/>
              <w:keepLines/>
              <w:numPr>
                <w:ilvl w:val="0"/>
                <w:numId w:val="4"/>
              </w:numPr>
              <w:ind w:left="302" w:hanging="180"/>
              <w:outlineLvl w:val="4"/>
              <w:rPr>
                <w:rFonts w:cs="Arial"/>
                <w:bCs/>
                <w:sz w:val="20"/>
                <w:szCs w:val="20"/>
              </w:rPr>
            </w:pPr>
            <w:r w:rsidRPr="009F6B9C">
              <w:rPr>
                <w:rFonts w:cs="Arial"/>
                <w:bCs/>
                <w:sz w:val="20"/>
                <w:szCs w:val="20"/>
              </w:rPr>
              <w:t>Commencement of Civil Enforcement Actions, Criminal Actions Authorized, Duties of Attorney General</w:t>
            </w:r>
          </w:p>
        </w:tc>
        <w:tc>
          <w:tcPr>
            <w:tcW w:w="1028" w:type="dxa"/>
            <w:tcBorders>
              <w:left w:val="single" w:sz="4" w:space="0" w:color="auto"/>
              <w:bottom w:val="single" w:sz="4" w:space="0" w:color="auto"/>
              <w:right w:val="single" w:sz="4" w:space="0" w:color="auto"/>
            </w:tcBorders>
            <w:tcMar>
              <w:left w:w="58" w:type="dxa"/>
              <w:right w:w="58" w:type="dxa"/>
            </w:tcMar>
          </w:tcPr>
          <w:p w:rsidR="00DC2FB6" w:rsidRPr="009F6B9C" w:rsidRDefault="00DC2FB6" w:rsidP="001E1F6C">
            <w:pPr>
              <w:jc w:val="center"/>
              <w:outlineLvl w:val="4"/>
              <w:rPr>
                <w:rFonts w:cs="Arial"/>
                <w:bCs/>
                <w:sz w:val="20"/>
                <w:szCs w:val="20"/>
              </w:rPr>
            </w:pPr>
          </w:p>
        </w:tc>
      </w:tr>
      <w:tr w:rsidR="00DC2FB6" w:rsidRPr="00E505F0" w:rsidTr="001E1F6C">
        <w:trPr>
          <w:cantSplit/>
        </w:trPr>
        <w:tc>
          <w:tcPr>
            <w:tcW w:w="1948" w:type="dxa"/>
            <w:tcBorders>
              <w:top w:val="single" w:sz="4" w:space="0" w:color="auto"/>
              <w:left w:val="single" w:sz="4" w:space="0" w:color="auto"/>
              <w:bottom w:val="single" w:sz="4" w:space="0" w:color="auto"/>
              <w:right w:val="single" w:sz="4" w:space="0" w:color="auto"/>
            </w:tcBorders>
            <w:tcMar>
              <w:left w:w="58" w:type="dxa"/>
              <w:right w:w="58" w:type="dxa"/>
            </w:tcMar>
          </w:tcPr>
          <w:p w:rsidR="00DC2FB6" w:rsidRPr="00271F73" w:rsidRDefault="00DC2FB6" w:rsidP="001E1F6C">
            <w:pPr>
              <w:outlineLvl w:val="4"/>
              <w:rPr>
                <w:rFonts w:cs="Arial"/>
                <w:b/>
                <w:bCs/>
                <w:sz w:val="20"/>
                <w:szCs w:val="20"/>
              </w:rPr>
            </w:pPr>
            <w:r w:rsidRPr="00271F73">
              <w:rPr>
                <w:rFonts w:cs="Arial"/>
                <w:b/>
                <w:bCs/>
                <w:sz w:val="20"/>
                <w:szCs w:val="20"/>
              </w:rPr>
              <w:t>Idaho Code</w:t>
            </w:r>
            <w:r w:rsidRPr="00271F73">
              <w:rPr>
                <w:rFonts w:cs="Arial"/>
                <w:b/>
                <w:bCs/>
                <w:sz w:val="20"/>
                <w:szCs w:val="20"/>
              </w:rPr>
              <w:br/>
              <w:t>Title 39 Chapter 72</w:t>
            </w:r>
          </w:p>
        </w:tc>
        <w:tc>
          <w:tcPr>
            <w:tcW w:w="1800" w:type="dxa"/>
            <w:tcBorders>
              <w:top w:val="single" w:sz="4" w:space="0" w:color="auto"/>
              <w:left w:val="single" w:sz="4" w:space="0" w:color="auto"/>
              <w:bottom w:val="single" w:sz="4" w:space="0" w:color="auto"/>
              <w:right w:val="single" w:sz="4" w:space="0" w:color="auto"/>
            </w:tcBorders>
            <w:tcMar>
              <w:left w:w="58" w:type="dxa"/>
              <w:right w:w="58" w:type="dxa"/>
            </w:tcMar>
          </w:tcPr>
          <w:p w:rsidR="00DC2FB6" w:rsidRPr="001655A4" w:rsidRDefault="00DC2FB6" w:rsidP="001E1F6C">
            <w:pPr>
              <w:outlineLvl w:val="4"/>
              <w:rPr>
                <w:rFonts w:cs="Arial"/>
                <w:bCs/>
                <w:sz w:val="20"/>
                <w:szCs w:val="20"/>
              </w:rPr>
            </w:pPr>
          </w:p>
        </w:tc>
        <w:tc>
          <w:tcPr>
            <w:tcW w:w="3864" w:type="dxa"/>
            <w:tcBorders>
              <w:top w:val="single" w:sz="4" w:space="0" w:color="auto"/>
              <w:left w:val="single" w:sz="4" w:space="0" w:color="auto"/>
              <w:bottom w:val="single" w:sz="4" w:space="0" w:color="auto"/>
              <w:right w:val="single" w:sz="4" w:space="0" w:color="auto"/>
            </w:tcBorders>
            <w:tcMar>
              <w:left w:w="58" w:type="dxa"/>
              <w:right w:w="58" w:type="dxa"/>
            </w:tcMar>
          </w:tcPr>
          <w:p w:rsidR="00DC2FB6" w:rsidRPr="001655A4" w:rsidRDefault="00DC2FB6" w:rsidP="001E1F6C">
            <w:pPr>
              <w:outlineLvl w:val="4"/>
              <w:rPr>
                <w:rFonts w:cs="Arial"/>
                <w:bCs/>
                <w:sz w:val="20"/>
                <w:szCs w:val="20"/>
              </w:rPr>
            </w:pPr>
            <w:r>
              <w:rPr>
                <w:rFonts w:cs="Arial"/>
                <w:bCs/>
                <w:sz w:val="20"/>
                <w:szCs w:val="20"/>
              </w:rPr>
              <w:t>Idaho Land Remediation Act</w:t>
            </w:r>
          </w:p>
        </w:tc>
        <w:tc>
          <w:tcPr>
            <w:tcW w:w="1028" w:type="dxa"/>
            <w:tcBorders>
              <w:top w:val="single" w:sz="4" w:space="0" w:color="auto"/>
              <w:left w:val="single" w:sz="4" w:space="0" w:color="auto"/>
              <w:bottom w:val="single" w:sz="4" w:space="0" w:color="auto"/>
              <w:right w:val="single" w:sz="4" w:space="0" w:color="auto"/>
            </w:tcBorders>
            <w:tcMar>
              <w:left w:w="58" w:type="dxa"/>
              <w:right w:w="58" w:type="dxa"/>
            </w:tcMar>
          </w:tcPr>
          <w:p w:rsidR="00DC2FB6" w:rsidRDefault="00DC2FB6" w:rsidP="001E1F6C">
            <w:pPr>
              <w:jc w:val="center"/>
              <w:outlineLvl w:val="4"/>
              <w:rPr>
                <w:rFonts w:cs="Arial"/>
                <w:bCs/>
                <w:sz w:val="20"/>
                <w:szCs w:val="20"/>
              </w:rPr>
            </w:pPr>
            <w:r>
              <w:rPr>
                <w:rFonts w:cs="Arial"/>
                <w:bCs/>
                <w:sz w:val="20"/>
                <w:szCs w:val="20"/>
              </w:rPr>
              <w:t>B</w:t>
            </w:r>
          </w:p>
        </w:tc>
      </w:tr>
      <w:tr w:rsidR="00DC2FB6" w:rsidRPr="00E505F0" w:rsidTr="001E1F6C">
        <w:trPr>
          <w:cantSplit/>
        </w:trPr>
        <w:tc>
          <w:tcPr>
            <w:tcW w:w="1948" w:type="dxa"/>
            <w:tcBorders>
              <w:top w:val="single" w:sz="4" w:space="0" w:color="auto"/>
              <w:left w:val="single" w:sz="4" w:space="0" w:color="auto"/>
              <w:bottom w:val="single" w:sz="4" w:space="0" w:color="auto"/>
              <w:right w:val="single" w:sz="4" w:space="0" w:color="auto"/>
            </w:tcBorders>
            <w:tcMar>
              <w:left w:w="58" w:type="dxa"/>
              <w:right w:w="58" w:type="dxa"/>
            </w:tcMar>
          </w:tcPr>
          <w:p w:rsidR="00DC2FB6" w:rsidRPr="00271F73" w:rsidRDefault="00DC2FB6" w:rsidP="001E1F6C">
            <w:pPr>
              <w:outlineLvl w:val="4"/>
              <w:rPr>
                <w:rFonts w:cs="Arial"/>
                <w:b/>
                <w:bCs/>
                <w:sz w:val="20"/>
                <w:szCs w:val="20"/>
              </w:rPr>
            </w:pPr>
            <w:r w:rsidRPr="00271F73">
              <w:rPr>
                <w:rFonts w:cs="Arial"/>
                <w:b/>
                <w:bCs/>
                <w:sz w:val="20"/>
                <w:szCs w:val="20"/>
              </w:rPr>
              <w:t xml:space="preserve">Idaho Code </w:t>
            </w:r>
            <w:r w:rsidRPr="00271F73">
              <w:rPr>
                <w:rFonts w:cs="Arial"/>
                <w:b/>
                <w:bCs/>
                <w:sz w:val="20"/>
                <w:szCs w:val="20"/>
              </w:rPr>
              <w:br/>
            </w:r>
            <w:r w:rsidRPr="00271F73">
              <w:rPr>
                <w:rFonts w:cs="Arial"/>
                <w:b/>
                <w:sz w:val="20"/>
                <w:szCs w:val="20"/>
              </w:rPr>
              <w:t>Title 39 Chapter 88</w:t>
            </w:r>
          </w:p>
        </w:tc>
        <w:tc>
          <w:tcPr>
            <w:tcW w:w="1800" w:type="dxa"/>
            <w:tcBorders>
              <w:top w:val="single" w:sz="4" w:space="0" w:color="auto"/>
              <w:left w:val="single" w:sz="4" w:space="0" w:color="auto"/>
              <w:bottom w:val="single" w:sz="4" w:space="0" w:color="auto"/>
              <w:right w:val="single" w:sz="4" w:space="0" w:color="auto"/>
            </w:tcBorders>
            <w:tcMar>
              <w:left w:w="58" w:type="dxa"/>
              <w:right w:w="58" w:type="dxa"/>
            </w:tcMar>
          </w:tcPr>
          <w:p w:rsidR="00DC2FB6" w:rsidRPr="00E505F0" w:rsidRDefault="00DC2FB6" w:rsidP="001E1F6C">
            <w:pPr>
              <w:outlineLvl w:val="4"/>
              <w:rPr>
                <w:rFonts w:cs="Arial"/>
                <w:bCs/>
                <w:sz w:val="20"/>
                <w:szCs w:val="20"/>
              </w:rPr>
            </w:pPr>
          </w:p>
        </w:tc>
        <w:tc>
          <w:tcPr>
            <w:tcW w:w="3864" w:type="dxa"/>
            <w:tcBorders>
              <w:top w:val="single" w:sz="4" w:space="0" w:color="auto"/>
              <w:left w:val="single" w:sz="4" w:space="0" w:color="auto"/>
              <w:bottom w:val="single" w:sz="4" w:space="0" w:color="auto"/>
              <w:right w:val="single" w:sz="4" w:space="0" w:color="auto"/>
            </w:tcBorders>
            <w:tcMar>
              <w:left w:w="58" w:type="dxa"/>
              <w:right w:w="58" w:type="dxa"/>
            </w:tcMar>
          </w:tcPr>
          <w:p w:rsidR="00DC2FB6" w:rsidRPr="00E505F0" w:rsidRDefault="00DC2FB6" w:rsidP="001E1F6C">
            <w:pPr>
              <w:outlineLvl w:val="4"/>
              <w:rPr>
                <w:rFonts w:cs="Arial"/>
                <w:bCs/>
                <w:sz w:val="20"/>
                <w:szCs w:val="20"/>
              </w:rPr>
            </w:pPr>
            <w:r w:rsidRPr="00E505F0">
              <w:rPr>
                <w:rFonts w:cs="Arial"/>
                <w:bCs/>
                <w:sz w:val="20"/>
                <w:szCs w:val="20"/>
              </w:rPr>
              <w:t>Idaho Underground Storage Tank Act</w:t>
            </w:r>
          </w:p>
        </w:tc>
        <w:tc>
          <w:tcPr>
            <w:tcW w:w="1028" w:type="dxa"/>
            <w:tcBorders>
              <w:top w:val="single" w:sz="4" w:space="0" w:color="auto"/>
              <w:left w:val="single" w:sz="4" w:space="0" w:color="auto"/>
              <w:bottom w:val="single" w:sz="4" w:space="0" w:color="auto"/>
              <w:right w:val="single" w:sz="4" w:space="0" w:color="auto"/>
            </w:tcBorders>
            <w:tcMar>
              <w:left w:w="58" w:type="dxa"/>
              <w:right w:w="58" w:type="dxa"/>
            </w:tcMar>
          </w:tcPr>
          <w:p w:rsidR="00DC2FB6" w:rsidRPr="00E505F0" w:rsidRDefault="00DC2FB6" w:rsidP="001E1F6C">
            <w:pPr>
              <w:jc w:val="center"/>
              <w:outlineLvl w:val="4"/>
              <w:rPr>
                <w:rFonts w:cs="Arial"/>
                <w:bCs/>
                <w:sz w:val="20"/>
                <w:szCs w:val="20"/>
              </w:rPr>
            </w:pPr>
            <w:r>
              <w:rPr>
                <w:rFonts w:cs="Arial"/>
                <w:bCs/>
                <w:sz w:val="20"/>
                <w:szCs w:val="20"/>
              </w:rPr>
              <w:t>B</w:t>
            </w:r>
          </w:p>
        </w:tc>
      </w:tr>
      <w:tr w:rsidR="00DC2FB6" w:rsidRPr="00E505F0" w:rsidTr="001E1F6C">
        <w:trPr>
          <w:cantSplit/>
        </w:trPr>
        <w:tc>
          <w:tcPr>
            <w:tcW w:w="1948" w:type="dxa"/>
            <w:tcBorders>
              <w:top w:val="single" w:sz="4" w:space="0" w:color="auto"/>
              <w:left w:val="single" w:sz="4" w:space="0" w:color="auto"/>
              <w:bottom w:val="single" w:sz="8" w:space="0" w:color="auto"/>
              <w:right w:val="single" w:sz="4" w:space="0" w:color="auto"/>
            </w:tcBorders>
            <w:tcMar>
              <w:left w:w="58" w:type="dxa"/>
              <w:right w:w="58" w:type="dxa"/>
            </w:tcMar>
          </w:tcPr>
          <w:p w:rsidR="00DC2FB6" w:rsidRPr="009F6B9C" w:rsidRDefault="00DC2FB6" w:rsidP="001E1F6C">
            <w:pPr>
              <w:outlineLvl w:val="4"/>
              <w:rPr>
                <w:rFonts w:cs="Arial"/>
                <w:sz w:val="20"/>
                <w:szCs w:val="20"/>
              </w:rPr>
            </w:pPr>
            <w:r w:rsidRPr="00271F73">
              <w:rPr>
                <w:b/>
                <w:sz w:val="20"/>
                <w:szCs w:val="20"/>
              </w:rPr>
              <w:t xml:space="preserve">Idaho Rules of </w:t>
            </w:r>
            <w:r>
              <w:rPr>
                <w:b/>
                <w:sz w:val="20"/>
                <w:szCs w:val="20"/>
              </w:rPr>
              <w:br/>
            </w:r>
            <w:r w:rsidRPr="00271F73">
              <w:rPr>
                <w:b/>
                <w:sz w:val="20"/>
                <w:szCs w:val="20"/>
              </w:rPr>
              <w:t>Civil Procedures, Rule 24(a)</w:t>
            </w:r>
          </w:p>
        </w:tc>
        <w:tc>
          <w:tcPr>
            <w:tcW w:w="1800" w:type="dxa"/>
            <w:tcBorders>
              <w:top w:val="single" w:sz="4" w:space="0" w:color="auto"/>
              <w:left w:val="single" w:sz="4" w:space="0" w:color="auto"/>
              <w:bottom w:val="single" w:sz="8" w:space="0" w:color="auto"/>
              <w:right w:val="single" w:sz="4" w:space="0" w:color="auto"/>
            </w:tcBorders>
            <w:tcMar>
              <w:left w:w="58" w:type="dxa"/>
              <w:right w:w="58" w:type="dxa"/>
            </w:tcMar>
          </w:tcPr>
          <w:p w:rsidR="00DC2FB6" w:rsidRPr="00271F73" w:rsidRDefault="00DC2FB6" w:rsidP="001E1F6C">
            <w:pPr>
              <w:rPr>
                <w:b/>
                <w:sz w:val="20"/>
                <w:szCs w:val="20"/>
              </w:rPr>
            </w:pPr>
          </w:p>
        </w:tc>
        <w:tc>
          <w:tcPr>
            <w:tcW w:w="3864" w:type="dxa"/>
            <w:tcBorders>
              <w:top w:val="single" w:sz="4" w:space="0" w:color="auto"/>
              <w:left w:val="single" w:sz="4" w:space="0" w:color="auto"/>
              <w:bottom w:val="single" w:sz="8" w:space="0" w:color="auto"/>
              <w:right w:val="single" w:sz="4" w:space="0" w:color="auto"/>
            </w:tcBorders>
            <w:tcMar>
              <w:left w:w="58" w:type="dxa"/>
              <w:right w:w="58" w:type="dxa"/>
            </w:tcMar>
          </w:tcPr>
          <w:p w:rsidR="00DC2FB6" w:rsidRPr="009F6B9C" w:rsidRDefault="00DC2FB6" w:rsidP="001E1F6C">
            <w:pPr>
              <w:outlineLvl w:val="4"/>
              <w:rPr>
                <w:rFonts w:cs="Arial"/>
                <w:bCs/>
                <w:sz w:val="20"/>
                <w:szCs w:val="20"/>
              </w:rPr>
            </w:pPr>
            <w:r>
              <w:rPr>
                <w:rFonts w:cs="Arial"/>
                <w:bCs/>
                <w:sz w:val="20"/>
                <w:szCs w:val="20"/>
              </w:rPr>
              <w:t>Intervention of Right</w:t>
            </w:r>
          </w:p>
        </w:tc>
        <w:tc>
          <w:tcPr>
            <w:tcW w:w="1028" w:type="dxa"/>
            <w:tcBorders>
              <w:top w:val="single" w:sz="4" w:space="0" w:color="auto"/>
              <w:left w:val="single" w:sz="4" w:space="0" w:color="auto"/>
              <w:bottom w:val="single" w:sz="8" w:space="0" w:color="auto"/>
              <w:right w:val="single" w:sz="4" w:space="0" w:color="auto"/>
            </w:tcBorders>
            <w:tcMar>
              <w:left w:w="58" w:type="dxa"/>
              <w:right w:w="58" w:type="dxa"/>
            </w:tcMar>
          </w:tcPr>
          <w:p w:rsidR="00DC2FB6" w:rsidRPr="009F6B9C" w:rsidRDefault="00DC2FB6" w:rsidP="001E1F6C">
            <w:pPr>
              <w:jc w:val="center"/>
              <w:outlineLvl w:val="4"/>
              <w:rPr>
                <w:rFonts w:cs="Arial"/>
                <w:bCs/>
                <w:sz w:val="20"/>
                <w:szCs w:val="20"/>
              </w:rPr>
            </w:pPr>
            <w:r>
              <w:rPr>
                <w:rFonts w:cs="Arial"/>
                <w:bCs/>
                <w:sz w:val="20"/>
                <w:szCs w:val="20"/>
              </w:rPr>
              <w:t>C</w:t>
            </w:r>
          </w:p>
        </w:tc>
      </w:tr>
    </w:tbl>
    <w:p w:rsidR="00DC2FB6" w:rsidRPr="00762E16" w:rsidRDefault="00DC2FB6" w:rsidP="00DC2FB6">
      <w:pPr>
        <w:pStyle w:val="Bullet"/>
        <w:tabs>
          <w:tab w:val="clear" w:pos="720"/>
        </w:tabs>
      </w:pPr>
    </w:p>
    <w:p w:rsidR="00DC2FB6" w:rsidRPr="007834F6" w:rsidRDefault="00DC2FB6" w:rsidP="00DC2FB6">
      <w:pPr>
        <w:pStyle w:val="BodyText"/>
        <w:rPr>
          <w:b/>
        </w:rPr>
      </w:pPr>
      <w:r w:rsidRPr="007834F6">
        <w:rPr>
          <w:b/>
        </w:rPr>
        <w:t>UST Program Statistics</w:t>
      </w:r>
    </w:p>
    <w:p w:rsidR="00DC2FB6" w:rsidRPr="00762E16" w:rsidRDefault="00DC2FB6" w:rsidP="00DC2FB6">
      <w:pPr>
        <w:pStyle w:val="BodyText"/>
      </w:pPr>
      <w:r>
        <w:t>As of March 2011</w:t>
      </w:r>
      <w:r w:rsidRPr="00762E16">
        <w:t xml:space="preserve">, the total </w:t>
      </w:r>
      <w:r>
        <w:t>Department-</w:t>
      </w:r>
      <w:r w:rsidRPr="00762E16">
        <w:t>regulated UST population includes</w:t>
      </w:r>
      <w:r>
        <w:t xml:space="preserve"> the following facilities and systems</w:t>
      </w:r>
      <w:r w:rsidRPr="00762E1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8"/>
        <w:gridCol w:w="990"/>
      </w:tblGrid>
      <w:tr w:rsidR="00DC2FB6" w:rsidRPr="00E505F0" w:rsidTr="001E1F6C">
        <w:tc>
          <w:tcPr>
            <w:tcW w:w="4878" w:type="dxa"/>
          </w:tcPr>
          <w:p w:rsidR="00DC2FB6" w:rsidRPr="00E505F0" w:rsidRDefault="00DC2FB6" w:rsidP="001E1F6C">
            <w:pPr>
              <w:pStyle w:val="Tabletext"/>
              <w:rPr>
                <w:sz w:val="20"/>
                <w:szCs w:val="20"/>
              </w:rPr>
            </w:pPr>
            <w:r w:rsidRPr="00E505F0">
              <w:rPr>
                <w:sz w:val="20"/>
                <w:szCs w:val="20"/>
              </w:rPr>
              <w:t>Total regulated UST facilities (active)</w:t>
            </w:r>
          </w:p>
        </w:tc>
        <w:tc>
          <w:tcPr>
            <w:tcW w:w="990" w:type="dxa"/>
          </w:tcPr>
          <w:p w:rsidR="00DC2FB6" w:rsidRPr="00E505F0" w:rsidRDefault="00DC2FB6" w:rsidP="001E1F6C">
            <w:pPr>
              <w:jc w:val="right"/>
              <w:outlineLvl w:val="4"/>
              <w:rPr>
                <w:rFonts w:cs="Arial"/>
                <w:bCs/>
                <w:sz w:val="20"/>
                <w:szCs w:val="20"/>
              </w:rPr>
            </w:pPr>
            <w:r w:rsidRPr="00E505F0">
              <w:rPr>
                <w:rFonts w:cs="Arial"/>
                <w:bCs/>
                <w:sz w:val="20"/>
                <w:szCs w:val="20"/>
              </w:rPr>
              <w:t>1</w:t>
            </w:r>
            <w:r>
              <w:rPr>
                <w:rFonts w:cs="Arial"/>
                <w:bCs/>
                <w:sz w:val="20"/>
                <w:szCs w:val="20"/>
              </w:rPr>
              <w:t>,</w:t>
            </w:r>
            <w:r w:rsidRPr="00E505F0">
              <w:rPr>
                <w:rFonts w:cs="Arial"/>
                <w:bCs/>
                <w:sz w:val="20"/>
                <w:szCs w:val="20"/>
              </w:rPr>
              <w:t>178</w:t>
            </w:r>
          </w:p>
        </w:tc>
      </w:tr>
      <w:tr w:rsidR="00DC2FB6" w:rsidRPr="00E505F0" w:rsidTr="001E1F6C">
        <w:tc>
          <w:tcPr>
            <w:tcW w:w="4878" w:type="dxa"/>
          </w:tcPr>
          <w:p w:rsidR="00DC2FB6" w:rsidRPr="00E505F0" w:rsidRDefault="00DC2FB6" w:rsidP="001E1F6C">
            <w:pPr>
              <w:pStyle w:val="Tabletext"/>
              <w:rPr>
                <w:sz w:val="20"/>
                <w:szCs w:val="20"/>
              </w:rPr>
            </w:pPr>
            <w:r w:rsidRPr="00E505F0">
              <w:rPr>
                <w:sz w:val="20"/>
                <w:szCs w:val="20"/>
              </w:rPr>
              <w:t>Total regulated UST facilities (closed)</w:t>
            </w:r>
          </w:p>
        </w:tc>
        <w:tc>
          <w:tcPr>
            <w:tcW w:w="990" w:type="dxa"/>
          </w:tcPr>
          <w:p w:rsidR="00DC2FB6" w:rsidRPr="00E505F0" w:rsidRDefault="00DC2FB6" w:rsidP="001E1F6C">
            <w:pPr>
              <w:jc w:val="right"/>
              <w:outlineLvl w:val="4"/>
              <w:rPr>
                <w:rFonts w:cs="Arial"/>
                <w:bCs/>
                <w:sz w:val="20"/>
                <w:szCs w:val="20"/>
              </w:rPr>
            </w:pPr>
            <w:r w:rsidRPr="00E505F0">
              <w:rPr>
                <w:rFonts w:cs="Arial"/>
                <w:bCs/>
                <w:sz w:val="20"/>
                <w:szCs w:val="20"/>
              </w:rPr>
              <w:t>3</w:t>
            </w:r>
            <w:r>
              <w:rPr>
                <w:rFonts w:cs="Arial"/>
                <w:bCs/>
                <w:sz w:val="20"/>
                <w:szCs w:val="20"/>
              </w:rPr>
              <w:t>,</w:t>
            </w:r>
            <w:r w:rsidRPr="00E505F0">
              <w:rPr>
                <w:rFonts w:cs="Arial"/>
                <w:bCs/>
                <w:sz w:val="20"/>
                <w:szCs w:val="20"/>
              </w:rPr>
              <w:t>848</w:t>
            </w:r>
          </w:p>
        </w:tc>
      </w:tr>
      <w:tr w:rsidR="00DC2FB6" w:rsidRPr="00E505F0" w:rsidTr="001E1F6C">
        <w:tc>
          <w:tcPr>
            <w:tcW w:w="4878" w:type="dxa"/>
          </w:tcPr>
          <w:p w:rsidR="00DC2FB6" w:rsidRPr="00E505F0" w:rsidRDefault="00DC2FB6" w:rsidP="001E1F6C">
            <w:pPr>
              <w:pStyle w:val="Tabletext"/>
              <w:rPr>
                <w:sz w:val="20"/>
                <w:szCs w:val="20"/>
              </w:rPr>
            </w:pPr>
            <w:r w:rsidRPr="00E505F0">
              <w:rPr>
                <w:sz w:val="20"/>
                <w:szCs w:val="20"/>
              </w:rPr>
              <w:t>Total regulated UST systems (active)</w:t>
            </w:r>
          </w:p>
        </w:tc>
        <w:tc>
          <w:tcPr>
            <w:tcW w:w="990" w:type="dxa"/>
          </w:tcPr>
          <w:p w:rsidR="00DC2FB6" w:rsidRPr="00E505F0" w:rsidRDefault="00DC2FB6" w:rsidP="001E1F6C">
            <w:pPr>
              <w:jc w:val="right"/>
              <w:outlineLvl w:val="4"/>
              <w:rPr>
                <w:rFonts w:cs="Arial"/>
                <w:bCs/>
                <w:sz w:val="20"/>
                <w:szCs w:val="20"/>
              </w:rPr>
            </w:pPr>
            <w:r w:rsidRPr="00E505F0">
              <w:rPr>
                <w:rFonts w:cs="Arial"/>
                <w:bCs/>
                <w:sz w:val="20"/>
                <w:szCs w:val="20"/>
              </w:rPr>
              <w:t>3</w:t>
            </w:r>
            <w:r>
              <w:rPr>
                <w:rFonts w:cs="Arial"/>
                <w:bCs/>
                <w:sz w:val="20"/>
                <w:szCs w:val="20"/>
              </w:rPr>
              <w:t>,</w:t>
            </w:r>
            <w:r w:rsidRPr="00E505F0">
              <w:rPr>
                <w:rFonts w:cs="Arial"/>
                <w:bCs/>
                <w:sz w:val="20"/>
                <w:szCs w:val="20"/>
              </w:rPr>
              <w:t>294</w:t>
            </w:r>
          </w:p>
        </w:tc>
      </w:tr>
      <w:tr w:rsidR="00DC2FB6" w:rsidRPr="00E505F0" w:rsidTr="001E1F6C">
        <w:tc>
          <w:tcPr>
            <w:tcW w:w="4878" w:type="dxa"/>
          </w:tcPr>
          <w:p w:rsidR="00DC2FB6" w:rsidRPr="00E505F0" w:rsidRDefault="00DC2FB6" w:rsidP="001E1F6C">
            <w:pPr>
              <w:pStyle w:val="Tabletext"/>
              <w:rPr>
                <w:sz w:val="20"/>
                <w:szCs w:val="20"/>
              </w:rPr>
            </w:pPr>
            <w:r w:rsidRPr="00E505F0">
              <w:rPr>
                <w:sz w:val="20"/>
                <w:szCs w:val="20"/>
              </w:rPr>
              <w:t>Total hazardous substance UST systems (active)</w:t>
            </w:r>
          </w:p>
        </w:tc>
        <w:tc>
          <w:tcPr>
            <w:tcW w:w="990" w:type="dxa"/>
          </w:tcPr>
          <w:p w:rsidR="00DC2FB6" w:rsidRPr="00E505F0" w:rsidRDefault="00DC2FB6" w:rsidP="001E1F6C">
            <w:pPr>
              <w:jc w:val="right"/>
              <w:outlineLvl w:val="4"/>
              <w:rPr>
                <w:rFonts w:cs="Arial"/>
                <w:bCs/>
                <w:sz w:val="20"/>
                <w:szCs w:val="20"/>
              </w:rPr>
            </w:pPr>
            <w:r w:rsidRPr="00E505F0">
              <w:rPr>
                <w:rFonts w:cs="Arial"/>
                <w:bCs/>
                <w:sz w:val="20"/>
                <w:szCs w:val="20"/>
              </w:rPr>
              <w:t>0</w:t>
            </w:r>
          </w:p>
        </w:tc>
      </w:tr>
      <w:tr w:rsidR="00DC2FB6" w:rsidRPr="00E505F0" w:rsidTr="001E1F6C">
        <w:tc>
          <w:tcPr>
            <w:tcW w:w="4878" w:type="dxa"/>
          </w:tcPr>
          <w:p w:rsidR="00DC2FB6" w:rsidRPr="00E505F0" w:rsidRDefault="00DC2FB6" w:rsidP="001E1F6C">
            <w:pPr>
              <w:pStyle w:val="Tabletext"/>
              <w:rPr>
                <w:sz w:val="20"/>
                <w:szCs w:val="20"/>
              </w:rPr>
            </w:pPr>
            <w:r w:rsidRPr="00E505F0">
              <w:rPr>
                <w:sz w:val="20"/>
                <w:szCs w:val="20"/>
              </w:rPr>
              <w:t>Total temporarily out-of-use UST systems (active)</w:t>
            </w:r>
          </w:p>
        </w:tc>
        <w:tc>
          <w:tcPr>
            <w:tcW w:w="990" w:type="dxa"/>
          </w:tcPr>
          <w:p w:rsidR="00DC2FB6" w:rsidRPr="00E505F0" w:rsidRDefault="00DC2FB6" w:rsidP="001E1F6C">
            <w:pPr>
              <w:jc w:val="right"/>
              <w:outlineLvl w:val="4"/>
              <w:rPr>
                <w:rFonts w:cs="Arial"/>
                <w:bCs/>
                <w:sz w:val="20"/>
                <w:szCs w:val="20"/>
              </w:rPr>
            </w:pPr>
            <w:r w:rsidRPr="00E505F0">
              <w:rPr>
                <w:rFonts w:cs="Arial"/>
                <w:bCs/>
                <w:sz w:val="20"/>
                <w:szCs w:val="20"/>
              </w:rPr>
              <w:t>173</w:t>
            </w:r>
          </w:p>
        </w:tc>
      </w:tr>
    </w:tbl>
    <w:p w:rsidR="00DC2FB6" w:rsidRDefault="00DC2FB6" w:rsidP="00DC2FB6">
      <w:pPr>
        <w:pStyle w:val="BodyText"/>
      </w:pPr>
    </w:p>
    <w:p w:rsidR="00DC2FB6" w:rsidRPr="00762E16" w:rsidRDefault="00DC2FB6" w:rsidP="00DC2FB6">
      <w:pPr>
        <w:pStyle w:val="BodyText"/>
      </w:pPr>
      <w:r w:rsidRPr="00762E16">
        <w:t>Approximately 90% of the State’s UST facilities are single</w:t>
      </w:r>
      <w:r>
        <w:t>-</w:t>
      </w:r>
      <w:r w:rsidRPr="00762E16">
        <w:t>owner</w:t>
      </w:r>
      <w:r>
        <w:t xml:space="preserve"> entities</w:t>
      </w:r>
      <w:r w:rsidRPr="00762E16">
        <w:t>.</w:t>
      </w:r>
    </w:p>
    <w:p w:rsidR="00DC2FB6" w:rsidRPr="00762E16" w:rsidRDefault="00DC2FB6" w:rsidP="00DC2FB6">
      <w:pPr>
        <w:pStyle w:val="Heading2"/>
      </w:pPr>
      <w:bookmarkStart w:id="4" w:name="_Toc298143651"/>
      <w:r>
        <w:t>C.  Organization and Structure o</w:t>
      </w:r>
      <w:r w:rsidRPr="00762E16">
        <w:t>f State Program</w:t>
      </w:r>
      <w:bookmarkEnd w:id="4"/>
    </w:p>
    <w:p w:rsidR="00DC2FB6" w:rsidRPr="00762E16" w:rsidRDefault="00DC2FB6" w:rsidP="00DC2FB6">
      <w:pPr>
        <w:pStyle w:val="BodyText"/>
      </w:pPr>
      <w:r w:rsidRPr="00762E16">
        <w:t xml:space="preserve">The </w:t>
      </w:r>
      <w:r>
        <w:t xml:space="preserve">Idaho </w:t>
      </w:r>
      <w:r w:rsidRPr="00762E16">
        <w:t xml:space="preserve">Department of Environmental Quality </w:t>
      </w:r>
      <w:r>
        <w:t xml:space="preserve">(Department) </w:t>
      </w:r>
      <w:r w:rsidRPr="00762E16">
        <w:t xml:space="preserve">is the lead agency for facilitating communications between </w:t>
      </w:r>
      <w:r>
        <w:t>the U.S. Environmental Protection Agency (</w:t>
      </w:r>
      <w:r w:rsidRPr="00762E16">
        <w:t>EPA</w:t>
      </w:r>
      <w:r>
        <w:t>)</w:t>
      </w:r>
      <w:r w:rsidRPr="00762E16">
        <w:t xml:space="preserve"> and the State</w:t>
      </w:r>
      <w:r>
        <w:t xml:space="preserve"> of Idaho</w:t>
      </w:r>
      <w:r w:rsidRPr="00762E16">
        <w:t xml:space="preserve">.  The Department is the only state agency that implements the UST program.  The Department’s mission </w:t>
      </w:r>
      <w:r>
        <w:t xml:space="preserve">statement </w:t>
      </w:r>
      <w:r w:rsidRPr="00762E16">
        <w:t xml:space="preserve">is to “Protect human health and preserve the quality of </w:t>
      </w:r>
      <w:smartTag w:uri="urn:schemas-microsoft-com:office:smarttags" w:element="place">
        <w:smartTag w:uri="urn:schemas-microsoft-com:office:smarttags" w:element="State">
          <w:r w:rsidRPr="00762E16">
            <w:t>Idaho</w:t>
          </w:r>
        </w:smartTag>
      </w:smartTag>
      <w:r w:rsidRPr="00762E16">
        <w:t xml:space="preserve">’s air, land, and water for </w:t>
      </w:r>
      <w:r w:rsidRPr="00762E16">
        <w:lastRenderedPageBreak/>
        <w:t>use and enjoyment today and in the future</w:t>
      </w:r>
      <w:r>
        <w:t>.</w:t>
      </w:r>
      <w:r w:rsidRPr="00762E16">
        <w:t xml:space="preserve">”  To carry out its mission statewide, the Department has a </w:t>
      </w:r>
      <w:r>
        <w:t>state</w:t>
      </w:r>
      <w:r w:rsidRPr="00762E16">
        <w:t xml:space="preserve"> office located in </w:t>
      </w:r>
      <w:smartTag w:uri="urn:schemas-microsoft-com:office:smarttags" w:element="place">
        <w:smartTag w:uri="urn:schemas-microsoft-com:office:smarttags" w:element="City">
          <w:r w:rsidRPr="00762E16">
            <w:t>Boise</w:t>
          </w:r>
        </w:smartTag>
      </w:smartTag>
      <w:r w:rsidRPr="00762E16">
        <w:t xml:space="preserve"> and six regional offices.  Appendix</w:t>
      </w:r>
      <w:r>
        <w:t> V</w:t>
      </w:r>
      <w:r w:rsidRPr="00762E16">
        <w:t xml:space="preserve"> contains an organizational chart.  </w:t>
      </w:r>
    </w:p>
    <w:p w:rsidR="00DC2FB6" w:rsidRPr="00762E16" w:rsidRDefault="00DC2FB6" w:rsidP="00DC2FB6">
      <w:pPr>
        <w:pStyle w:val="BodyText"/>
      </w:pPr>
      <w:r w:rsidRPr="00762E16">
        <w:t xml:space="preserve">Within the Department’s </w:t>
      </w:r>
      <w:r>
        <w:t>state</w:t>
      </w:r>
      <w:r w:rsidRPr="00762E16">
        <w:t xml:space="preserve"> office</w:t>
      </w:r>
      <w:r>
        <w:t>,</w:t>
      </w:r>
      <w:r w:rsidRPr="00762E16">
        <w:t xml:space="preserve"> there is a Waste Management </w:t>
      </w:r>
      <w:r>
        <w:t>and</w:t>
      </w:r>
      <w:r w:rsidRPr="00762E16">
        <w:t xml:space="preserve"> Remediation Division</w:t>
      </w:r>
      <w:r>
        <w:t>,</w:t>
      </w:r>
      <w:r w:rsidRPr="00762E16">
        <w:t xml:space="preserve"> which operates all waste-related programs such as UST, </w:t>
      </w:r>
      <w:r>
        <w:t>l</w:t>
      </w:r>
      <w:r w:rsidRPr="00762E16">
        <w:t xml:space="preserve">eaking </w:t>
      </w:r>
      <w:r>
        <w:t>u</w:t>
      </w:r>
      <w:r w:rsidRPr="00762E16">
        <w:t xml:space="preserve">nderground </w:t>
      </w:r>
      <w:r>
        <w:t>s</w:t>
      </w:r>
      <w:r w:rsidRPr="00762E16">
        <w:t xml:space="preserve">torage </w:t>
      </w:r>
      <w:r>
        <w:t>t</w:t>
      </w:r>
      <w:r w:rsidRPr="00762E16">
        <w:t xml:space="preserve">anks (LUST), </w:t>
      </w:r>
      <w:r>
        <w:t>s</w:t>
      </w:r>
      <w:r w:rsidRPr="00762E16">
        <w:t xml:space="preserve">olid </w:t>
      </w:r>
      <w:r>
        <w:t>w</w:t>
      </w:r>
      <w:r w:rsidRPr="00762E16">
        <w:t xml:space="preserve">aste, Resource Conservation and Recovery Act (RCRA), </w:t>
      </w:r>
      <w:r>
        <w:t xml:space="preserve">Voluntary Cleanup Program (VCP), Brownfields, </w:t>
      </w:r>
      <w:r w:rsidRPr="00762E16">
        <w:t xml:space="preserve">and </w:t>
      </w:r>
      <w:r>
        <w:t>m</w:t>
      </w:r>
      <w:r w:rsidRPr="00762E16">
        <w:t xml:space="preserve">ining.  </w:t>
      </w:r>
    </w:p>
    <w:p w:rsidR="00DC2FB6" w:rsidRDefault="00DC2FB6" w:rsidP="00DC2FB6">
      <w:r>
        <w:rPr>
          <w:rFonts w:cs="Arial"/>
        </w:rPr>
        <w:t xml:space="preserve">The Department’s state office and the regional offices work cooperatively to implement the UST program.  The Department’s state office UST program is responsible for </w:t>
      </w:r>
      <w:r>
        <w:t>the following tasks</w:t>
      </w:r>
      <w:r w:rsidRPr="00762E16">
        <w:t>:</w:t>
      </w:r>
    </w:p>
    <w:p w:rsidR="00DC2FB6" w:rsidRPr="00762E16" w:rsidRDefault="00DC2FB6" w:rsidP="00DC2FB6"/>
    <w:p w:rsidR="00DC2FB6" w:rsidRPr="00762E16" w:rsidRDefault="00DC2FB6" w:rsidP="00DC2FB6">
      <w:pPr>
        <w:pStyle w:val="Bullet"/>
        <w:numPr>
          <w:ilvl w:val="0"/>
          <w:numId w:val="1"/>
        </w:numPr>
      </w:pPr>
      <w:r>
        <w:t>C</w:t>
      </w:r>
      <w:r w:rsidRPr="00762E16">
        <w:t>reating and amending regulations</w:t>
      </w:r>
    </w:p>
    <w:p w:rsidR="00DC2FB6" w:rsidRPr="00762E16" w:rsidRDefault="00DC2FB6" w:rsidP="00DC2FB6">
      <w:pPr>
        <w:pStyle w:val="Bullet"/>
        <w:numPr>
          <w:ilvl w:val="0"/>
          <w:numId w:val="1"/>
        </w:numPr>
      </w:pPr>
      <w:r>
        <w:t>D</w:t>
      </w:r>
      <w:r w:rsidRPr="00762E16">
        <w:t>eveloping policies</w:t>
      </w:r>
    </w:p>
    <w:p w:rsidR="00DC2FB6" w:rsidRPr="00762E16" w:rsidRDefault="00DC2FB6" w:rsidP="00DC2FB6">
      <w:pPr>
        <w:pStyle w:val="Bullet"/>
        <w:numPr>
          <w:ilvl w:val="0"/>
          <w:numId w:val="1"/>
        </w:numPr>
      </w:pPr>
      <w:r>
        <w:t>M</w:t>
      </w:r>
      <w:r w:rsidRPr="00762E16">
        <w:t>anaging EPA assistance grants</w:t>
      </w:r>
    </w:p>
    <w:p w:rsidR="00DC2FB6" w:rsidRPr="00762E16" w:rsidRDefault="00DC2FB6" w:rsidP="00DC2FB6">
      <w:pPr>
        <w:pStyle w:val="Bullet"/>
        <w:numPr>
          <w:ilvl w:val="0"/>
          <w:numId w:val="1"/>
        </w:numPr>
      </w:pPr>
      <w:r>
        <w:t>I</w:t>
      </w:r>
      <w:r w:rsidRPr="00762E16">
        <w:t>ssuing enforcement orders</w:t>
      </w:r>
    </w:p>
    <w:p w:rsidR="00DC2FB6" w:rsidRPr="00762E16" w:rsidRDefault="00DC2FB6" w:rsidP="00DC2FB6">
      <w:pPr>
        <w:pStyle w:val="Bullet"/>
        <w:numPr>
          <w:ilvl w:val="0"/>
          <w:numId w:val="1"/>
        </w:numPr>
      </w:pPr>
      <w:r>
        <w:t>T</w:t>
      </w:r>
      <w:r w:rsidRPr="00762E16">
        <w:t>raining corporate operators</w:t>
      </w:r>
    </w:p>
    <w:p w:rsidR="00DC2FB6" w:rsidRPr="00762E16" w:rsidRDefault="00DC2FB6" w:rsidP="00DC2FB6">
      <w:pPr>
        <w:pStyle w:val="Bullet"/>
        <w:numPr>
          <w:ilvl w:val="0"/>
          <w:numId w:val="1"/>
        </w:numPr>
      </w:pPr>
      <w:r>
        <w:t>S</w:t>
      </w:r>
      <w:r w:rsidRPr="00762E16">
        <w:t>pot-checking field inspections</w:t>
      </w:r>
    </w:p>
    <w:p w:rsidR="00DC2FB6" w:rsidRPr="00762E16" w:rsidRDefault="00DC2FB6" w:rsidP="00DC2FB6">
      <w:pPr>
        <w:pStyle w:val="Bullet"/>
        <w:numPr>
          <w:ilvl w:val="0"/>
          <w:numId w:val="1"/>
        </w:numPr>
      </w:pPr>
      <w:r>
        <w:t>S</w:t>
      </w:r>
      <w:r w:rsidRPr="00762E16">
        <w:t>upporting the six regional offices</w:t>
      </w:r>
    </w:p>
    <w:p w:rsidR="00DC2FB6" w:rsidRPr="00762E16" w:rsidRDefault="00DC2FB6" w:rsidP="00DC2FB6">
      <w:pPr>
        <w:pStyle w:val="Bullet"/>
        <w:numPr>
          <w:ilvl w:val="0"/>
          <w:numId w:val="1"/>
        </w:numPr>
      </w:pPr>
      <w:r>
        <w:t>M</w:t>
      </w:r>
      <w:r w:rsidRPr="00762E16">
        <w:t>anaging the UST database</w:t>
      </w:r>
    </w:p>
    <w:p w:rsidR="00DC2FB6" w:rsidRPr="00762E16" w:rsidRDefault="00DC2FB6" w:rsidP="00DC2FB6">
      <w:pPr>
        <w:pStyle w:val="Bullet"/>
        <w:numPr>
          <w:ilvl w:val="0"/>
          <w:numId w:val="1"/>
        </w:numPr>
      </w:pPr>
      <w:r>
        <w:t>R</w:t>
      </w:r>
      <w:r w:rsidRPr="00762E16">
        <w:t>esponding to public records requests</w:t>
      </w:r>
    </w:p>
    <w:p w:rsidR="00DC2FB6" w:rsidRPr="00762E16" w:rsidRDefault="00DC2FB6" w:rsidP="00DC2FB6">
      <w:pPr>
        <w:pStyle w:val="Bullet"/>
        <w:numPr>
          <w:ilvl w:val="0"/>
          <w:numId w:val="1"/>
        </w:numPr>
      </w:pPr>
      <w:r>
        <w:t>S</w:t>
      </w:r>
      <w:r w:rsidRPr="00762E16">
        <w:t>etting the general direction of the UST program</w:t>
      </w:r>
    </w:p>
    <w:p w:rsidR="00DC2FB6" w:rsidRPr="00762E16" w:rsidRDefault="00DC2FB6" w:rsidP="00DC2FB6">
      <w:pPr>
        <w:pStyle w:val="BodyText"/>
      </w:pPr>
      <w:r w:rsidRPr="00762E16">
        <w:t>The six regional offices are responsible for</w:t>
      </w:r>
      <w:r>
        <w:t xml:space="preserve"> the following tasks</w:t>
      </w:r>
      <w:r w:rsidRPr="00762E16">
        <w:t>:</w:t>
      </w:r>
    </w:p>
    <w:p w:rsidR="00DC2FB6" w:rsidRPr="00762E16" w:rsidRDefault="00DC2FB6" w:rsidP="00DC2FB6">
      <w:pPr>
        <w:pStyle w:val="Bullet"/>
        <w:numPr>
          <w:ilvl w:val="0"/>
          <w:numId w:val="1"/>
        </w:numPr>
      </w:pPr>
      <w:r>
        <w:t>C</w:t>
      </w:r>
      <w:r w:rsidRPr="00762E16">
        <w:t>onducting field inspections</w:t>
      </w:r>
    </w:p>
    <w:p w:rsidR="00DC2FB6" w:rsidRPr="00762E16" w:rsidRDefault="00DC2FB6" w:rsidP="00DC2FB6">
      <w:pPr>
        <w:pStyle w:val="Bullet"/>
        <w:numPr>
          <w:ilvl w:val="0"/>
          <w:numId w:val="1"/>
        </w:numPr>
      </w:pPr>
      <w:r>
        <w:t>P</w:t>
      </w:r>
      <w:r w:rsidRPr="00762E16">
        <w:t>erforming follow-up for field inspections</w:t>
      </w:r>
    </w:p>
    <w:p w:rsidR="00DC2FB6" w:rsidRPr="00762E16" w:rsidRDefault="00DC2FB6" w:rsidP="00DC2FB6">
      <w:pPr>
        <w:pStyle w:val="Bullet"/>
        <w:numPr>
          <w:ilvl w:val="0"/>
          <w:numId w:val="1"/>
        </w:numPr>
      </w:pPr>
      <w:r>
        <w:t>T</w:t>
      </w:r>
      <w:r w:rsidRPr="00762E16">
        <w:t>raining owners and operators</w:t>
      </w:r>
    </w:p>
    <w:p w:rsidR="00DC2FB6" w:rsidRPr="00762E16" w:rsidRDefault="00DC2FB6" w:rsidP="00DC2FB6">
      <w:pPr>
        <w:pStyle w:val="Bullet"/>
        <w:numPr>
          <w:ilvl w:val="0"/>
          <w:numId w:val="1"/>
        </w:numPr>
      </w:pPr>
      <w:r>
        <w:t>I</w:t>
      </w:r>
      <w:r w:rsidRPr="00762E16">
        <w:t>ssuing enforcement orders</w:t>
      </w:r>
    </w:p>
    <w:p w:rsidR="00DC2FB6" w:rsidRPr="00762E16" w:rsidRDefault="00DC2FB6" w:rsidP="00DC2FB6">
      <w:pPr>
        <w:pStyle w:val="Bullet"/>
        <w:numPr>
          <w:ilvl w:val="0"/>
          <w:numId w:val="1"/>
        </w:numPr>
      </w:pPr>
      <w:r>
        <w:t>O</w:t>
      </w:r>
      <w:r w:rsidRPr="00762E16">
        <w:t>verseeing tank installations</w:t>
      </w:r>
    </w:p>
    <w:p w:rsidR="00DC2FB6" w:rsidRDefault="00DC2FB6" w:rsidP="00DC2FB6">
      <w:pPr>
        <w:pStyle w:val="Bullet"/>
        <w:numPr>
          <w:ilvl w:val="0"/>
          <w:numId w:val="1"/>
        </w:numPr>
      </w:pPr>
      <w:r>
        <w:t>O</w:t>
      </w:r>
      <w:r w:rsidRPr="00762E16">
        <w:t>verseeing tank closures</w:t>
      </w:r>
    </w:p>
    <w:p w:rsidR="00DC2FB6" w:rsidRPr="00762E16" w:rsidRDefault="00DC2FB6" w:rsidP="00DC2FB6">
      <w:pPr>
        <w:pStyle w:val="Bullet"/>
        <w:numPr>
          <w:ilvl w:val="0"/>
          <w:numId w:val="1"/>
        </w:numPr>
      </w:pPr>
      <w:r>
        <w:t>Overseeing site cleanups</w:t>
      </w:r>
    </w:p>
    <w:p w:rsidR="00DC2FB6" w:rsidRPr="00762E16" w:rsidRDefault="00DC2FB6" w:rsidP="00DC2FB6">
      <w:pPr>
        <w:pStyle w:val="Bullet"/>
        <w:numPr>
          <w:ilvl w:val="0"/>
          <w:numId w:val="1"/>
        </w:numPr>
      </w:pPr>
      <w:r>
        <w:t>R</w:t>
      </w:r>
      <w:r w:rsidRPr="00762E16">
        <w:t>esponding to public complaints</w:t>
      </w:r>
    </w:p>
    <w:p w:rsidR="00DC2FB6" w:rsidRPr="00762E16" w:rsidRDefault="00DC2FB6" w:rsidP="00DC2FB6">
      <w:pPr>
        <w:pStyle w:val="Bullet"/>
        <w:numPr>
          <w:ilvl w:val="0"/>
          <w:numId w:val="1"/>
        </w:numPr>
      </w:pPr>
      <w:r>
        <w:t>R</w:t>
      </w:r>
      <w:r w:rsidRPr="00762E16">
        <w:t>esponding to public records requests</w:t>
      </w:r>
    </w:p>
    <w:p w:rsidR="00DC2FB6" w:rsidRPr="00762E16" w:rsidRDefault="00DC2FB6" w:rsidP="00DC2FB6">
      <w:pPr>
        <w:pStyle w:val="Bullet"/>
        <w:numPr>
          <w:ilvl w:val="0"/>
          <w:numId w:val="1"/>
        </w:numPr>
      </w:pPr>
      <w:r>
        <w:t>R</w:t>
      </w:r>
      <w:r w:rsidRPr="00762E16">
        <w:t>ecording performance measures</w:t>
      </w:r>
    </w:p>
    <w:p w:rsidR="00DC2FB6" w:rsidRDefault="00DC2FB6" w:rsidP="00DC2FB6">
      <w:pPr>
        <w:rPr>
          <w:rFonts w:cs="Arial"/>
        </w:rPr>
      </w:pPr>
      <w:r w:rsidRPr="00762E16">
        <w:rPr>
          <w:rFonts w:cs="Arial"/>
        </w:rPr>
        <w:t>The Department</w:t>
      </w:r>
      <w:r>
        <w:rPr>
          <w:rFonts w:cs="Arial"/>
        </w:rPr>
        <w:t xml:space="preserve"> also has deputy a</w:t>
      </w:r>
      <w:r w:rsidRPr="00762E16">
        <w:rPr>
          <w:rFonts w:cs="Arial"/>
        </w:rPr>
        <w:t xml:space="preserve">ttorney </w:t>
      </w:r>
      <w:r>
        <w:rPr>
          <w:rFonts w:cs="Arial"/>
        </w:rPr>
        <w:t>g</w:t>
      </w:r>
      <w:r w:rsidRPr="00762E16">
        <w:rPr>
          <w:rFonts w:cs="Arial"/>
        </w:rPr>
        <w:t>eneral</w:t>
      </w:r>
      <w:r>
        <w:rPr>
          <w:rFonts w:cs="Arial"/>
        </w:rPr>
        <w:t>s from the Idaho Attorney General</w:t>
      </w:r>
      <w:r w:rsidRPr="00762E16">
        <w:rPr>
          <w:rFonts w:cs="Arial"/>
        </w:rPr>
        <w:t>’s Office</w:t>
      </w:r>
      <w:r>
        <w:rPr>
          <w:rFonts w:cs="Arial"/>
        </w:rPr>
        <w:t xml:space="preserve"> assigned as in-house counsel</w:t>
      </w:r>
      <w:r w:rsidRPr="00762E16">
        <w:rPr>
          <w:rFonts w:cs="Arial"/>
        </w:rPr>
        <w:t xml:space="preserve">.  The Attorney General’s Office provides legal advice to the UST program and represents the Department in court actions.  The Attorney General’s Office </w:t>
      </w:r>
      <w:r>
        <w:rPr>
          <w:rFonts w:cs="Arial"/>
        </w:rPr>
        <w:t xml:space="preserve">can </w:t>
      </w:r>
      <w:r w:rsidRPr="00762E16">
        <w:rPr>
          <w:rFonts w:cs="Arial"/>
        </w:rPr>
        <w:t>pursue civil</w:t>
      </w:r>
      <w:r>
        <w:rPr>
          <w:rFonts w:cs="Arial"/>
        </w:rPr>
        <w:t>, criminal,</w:t>
      </w:r>
      <w:r w:rsidRPr="00762E16">
        <w:rPr>
          <w:rFonts w:cs="Arial"/>
        </w:rPr>
        <w:t xml:space="preserve"> and/or administrative enforcement when cases are referred </w:t>
      </w:r>
      <w:r>
        <w:rPr>
          <w:rFonts w:cs="Arial"/>
        </w:rPr>
        <w:t>for enforcement</w:t>
      </w:r>
      <w:r w:rsidRPr="00762E16">
        <w:rPr>
          <w:rFonts w:cs="Arial"/>
        </w:rPr>
        <w:t>.</w:t>
      </w:r>
    </w:p>
    <w:p w:rsidR="00DC2FB6" w:rsidRPr="00762E16" w:rsidRDefault="00DC2FB6" w:rsidP="00DC2FB6">
      <w:pPr>
        <w:rPr>
          <w:rFonts w:cs="Arial"/>
        </w:rPr>
      </w:pPr>
    </w:p>
    <w:p w:rsidR="00DC2FB6" w:rsidRPr="00762E16" w:rsidRDefault="00DC2FB6" w:rsidP="00DC2FB6">
      <w:pPr>
        <w:pStyle w:val="BodyText"/>
      </w:pPr>
      <w:smartTag w:uri="urn:schemas-microsoft-com:office:smarttags" w:element="State">
        <w:r w:rsidRPr="00762E16">
          <w:t>Idaho</w:t>
        </w:r>
      </w:smartTag>
      <w:r w:rsidRPr="00762E16">
        <w:t xml:space="preserve">’s Petroleum Storage Tank Fund (PSTF) provides low-cost insurance to most of </w:t>
      </w:r>
      <w:smartTag w:uri="urn:schemas-microsoft-com:office:smarttags" w:element="place">
        <w:smartTag w:uri="urn:schemas-microsoft-com:office:smarttags" w:element="State">
          <w:r w:rsidRPr="00762E16">
            <w:t>Idaho</w:t>
          </w:r>
        </w:smartTag>
      </w:smartTag>
      <w:r w:rsidRPr="00762E16">
        <w:t>’s UST facilities.  The Department notifies PSTF</w:t>
      </w:r>
      <w:r>
        <w:t xml:space="preserve"> administrators</w:t>
      </w:r>
      <w:r w:rsidRPr="00762E16">
        <w:t xml:space="preserve"> of the compliance status of each UST facility so that </w:t>
      </w:r>
      <w:r>
        <w:t>they</w:t>
      </w:r>
      <w:r w:rsidRPr="00762E16">
        <w:t xml:space="preserve"> may investigate their continuing insurance coverage.  </w:t>
      </w:r>
    </w:p>
    <w:p w:rsidR="00DC2FB6" w:rsidRPr="00762E16" w:rsidRDefault="00DC2FB6" w:rsidP="00DC2FB6">
      <w:pPr>
        <w:pStyle w:val="Heading2"/>
      </w:pPr>
      <w:bookmarkStart w:id="5" w:name="_Toc298143652"/>
      <w:r w:rsidRPr="00762E16">
        <w:lastRenderedPageBreak/>
        <w:t>D.  Release Response</w:t>
      </w:r>
      <w:r>
        <w:t>, Reporting</w:t>
      </w:r>
      <w:r w:rsidRPr="00762E16">
        <w:t xml:space="preserve"> </w:t>
      </w:r>
      <w:r>
        <w:t>a</w:t>
      </w:r>
      <w:r w:rsidRPr="00762E16">
        <w:t>nd Corrective Action</w:t>
      </w:r>
      <w:bookmarkEnd w:id="5"/>
    </w:p>
    <w:p w:rsidR="00DC2FB6" w:rsidRPr="00A575DB" w:rsidRDefault="00DC2FB6" w:rsidP="00DC2FB6">
      <w:pPr>
        <w:pStyle w:val="Heading3"/>
      </w:pPr>
      <w:r w:rsidRPr="00A575DB">
        <w:t>1.  Overview</w:t>
      </w:r>
    </w:p>
    <w:p w:rsidR="00DC2FB6" w:rsidRPr="00284074" w:rsidRDefault="00DC2FB6" w:rsidP="00DC2FB6">
      <w:pPr>
        <w:pStyle w:val="BodyText"/>
      </w:pPr>
      <w:r w:rsidRPr="00284074">
        <w:t xml:space="preserve">The Department’s LUST program is responsible for the oversight of </w:t>
      </w:r>
      <w:r>
        <w:t>investigation</w:t>
      </w:r>
      <w:r w:rsidRPr="00284074">
        <w:t>s of confirmed petroleum releases</w:t>
      </w:r>
      <w:r>
        <w:t xml:space="preserve"> and any required site cleanup.</w:t>
      </w:r>
      <w:r w:rsidRPr="00284074">
        <w:t xml:space="preserve">  Currently</w:t>
      </w:r>
      <w:r>
        <w:t>,</w:t>
      </w:r>
      <w:r w:rsidRPr="00284074">
        <w:t xml:space="preserve"> the LUST staff is addressing approximately 150 petroleum release events and is using </w:t>
      </w:r>
      <w:r>
        <w:t>Federal</w:t>
      </w:r>
      <w:r w:rsidRPr="00284074">
        <w:t xml:space="preserve"> resources to resolve problems on LUST sites that have no </w:t>
      </w:r>
      <w:r>
        <w:t>responsible party (RP)</w:t>
      </w:r>
      <w:r w:rsidRPr="00284074">
        <w:t xml:space="preserve"> or </w:t>
      </w:r>
      <w:r>
        <w:t>have an</w:t>
      </w:r>
      <w:r w:rsidRPr="00284074">
        <w:t xml:space="preserve"> RP </w:t>
      </w:r>
      <w:r>
        <w:t>with</w:t>
      </w:r>
      <w:r w:rsidRPr="00284074">
        <w:t xml:space="preserve"> limited</w:t>
      </w:r>
      <w:r>
        <w:t>,</w:t>
      </w:r>
      <w:r w:rsidRPr="00284074">
        <w:t xml:space="preserve"> if any</w:t>
      </w:r>
      <w:r>
        <w:t>,</w:t>
      </w:r>
      <w:r w:rsidRPr="00284074">
        <w:t xml:space="preserve"> resources.  </w:t>
      </w:r>
      <w:r>
        <w:t>The Department</w:t>
      </w:r>
      <w:r w:rsidRPr="00284074">
        <w:t xml:space="preserve"> has</w:t>
      </w:r>
      <w:r>
        <w:t xml:space="preserve"> been able to close at least 20 </w:t>
      </w:r>
      <w:r w:rsidRPr="00284074">
        <w:t xml:space="preserve">sites annually over the last </w:t>
      </w:r>
      <w:r>
        <w:t>5 </w:t>
      </w:r>
      <w:r w:rsidRPr="00284074">
        <w:t xml:space="preserve">years and has continuously met EPA cleanup goals.  </w:t>
      </w:r>
      <w:r>
        <w:t>The Department</w:t>
      </w:r>
      <w:r w:rsidRPr="00284074">
        <w:t xml:space="preserve"> enforces the release reporting and corrective action requirements of the UST regulations and seeks cost recovery where required.</w:t>
      </w:r>
      <w:r>
        <w:t xml:space="preserve">  The Department finalized its </w:t>
      </w:r>
      <w:r w:rsidRPr="00284074">
        <w:rPr>
          <w:i/>
        </w:rPr>
        <w:t>Cost Recovery Guidance Manual</w:t>
      </w:r>
      <w:r>
        <w:t xml:space="preserve"> in February 2008 (Appendix W).   </w:t>
      </w:r>
    </w:p>
    <w:p w:rsidR="00DC2FB6" w:rsidRDefault="00DC2FB6" w:rsidP="00DC2FB6">
      <w:pPr>
        <w:pStyle w:val="BodyText"/>
        <w:rPr>
          <w:bCs/>
        </w:rPr>
      </w:pPr>
      <w:r w:rsidRPr="00284074">
        <w:t xml:space="preserve">The process of release reporting and corrective action follows </w:t>
      </w:r>
      <w:r>
        <w:t>40 CFR Part 280</w:t>
      </w:r>
      <w:r w:rsidRPr="00284074">
        <w:t xml:space="preserve"> as identified in Subparts E and F</w:t>
      </w:r>
      <w:r>
        <w:t xml:space="preserve">.  Although the State </w:t>
      </w:r>
      <w:r w:rsidRPr="00284074">
        <w:t xml:space="preserve">adopted </w:t>
      </w:r>
      <w:r>
        <w:t xml:space="preserve">40 CFR Part 280 by reference </w:t>
      </w:r>
      <w:r>
        <w:rPr>
          <w:bCs/>
        </w:rPr>
        <w:t xml:space="preserve">on April 2, 2008, the State has been enforcing IDAPA 58.01.02 Subsections 851 and 852 since July 1, 1993, which are consistent with 40 CFR Part 280 Subparts E and F.  </w:t>
      </w:r>
    </w:p>
    <w:p w:rsidR="00DC2FB6" w:rsidRDefault="00DC2FB6" w:rsidP="00DC2FB6">
      <w:pPr>
        <w:pStyle w:val="BodyText"/>
      </w:pPr>
      <w:r>
        <w:t>The Department’s state office LUST program is responsible for the following actions:</w:t>
      </w:r>
    </w:p>
    <w:p w:rsidR="00DC2FB6" w:rsidRDefault="00DC2FB6" w:rsidP="00DC2FB6">
      <w:pPr>
        <w:pStyle w:val="Bullet"/>
        <w:numPr>
          <w:ilvl w:val="0"/>
          <w:numId w:val="1"/>
        </w:numPr>
      </w:pPr>
      <w:r>
        <w:t>Creating and amending regulations</w:t>
      </w:r>
    </w:p>
    <w:p w:rsidR="00DC2FB6" w:rsidRDefault="00DC2FB6" w:rsidP="00DC2FB6">
      <w:pPr>
        <w:pStyle w:val="Bullet"/>
        <w:numPr>
          <w:ilvl w:val="0"/>
          <w:numId w:val="1"/>
        </w:numPr>
      </w:pPr>
      <w:r>
        <w:t>Developing policies</w:t>
      </w:r>
    </w:p>
    <w:p w:rsidR="00DC2FB6" w:rsidRDefault="00DC2FB6" w:rsidP="00DC2FB6">
      <w:pPr>
        <w:pStyle w:val="Bullet"/>
        <w:numPr>
          <w:ilvl w:val="0"/>
          <w:numId w:val="1"/>
        </w:numPr>
      </w:pPr>
      <w:r>
        <w:t>Managing EPA assistance grants</w:t>
      </w:r>
    </w:p>
    <w:p w:rsidR="00DC2FB6" w:rsidRDefault="00DC2FB6" w:rsidP="00DC2FB6">
      <w:pPr>
        <w:pStyle w:val="Bullet"/>
        <w:numPr>
          <w:ilvl w:val="0"/>
          <w:numId w:val="1"/>
        </w:numPr>
      </w:pPr>
      <w:r>
        <w:t>Issuing enforcement actions</w:t>
      </w:r>
    </w:p>
    <w:p w:rsidR="00DC2FB6" w:rsidRDefault="00DC2FB6" w:rsidP="00DC2FB6">
      <w:pPr>
        <w:pStyle w:val="Bullet"/>
        <w:numPr>
          <w:ilvl w:val="0"/>
          <w:numId w:val="1"/>
        </w:numPr>
      </w:pPr>
      <w:r>
        <w:t>Maintaining enforcement records</w:t>
      </w:r>
    </w:p>
    <w:p w:rsidR="00DC2FB6" w:rsidRDefault="00DC2FB6" w:rsidP="00DC2FB6">
      <w:pPr>
        <w:pStyle w:val="Bullet"/>
        <w:numPr>
          <w:ilvl w:val="0"/>
          <w:numId w:val="1"/>
        </w:numPr>
      </w:pPr>
      <w:r>
        <w:t>Supporting the six regional offices</w:t>
      </w:r>
    </w:p>
    <w:p w:rsidR="00DC2FB6" w:rsidRDefault="00DC2FB6" w:rsidP="00DC2FB6">
      <w:pPr>
        <w:pStyle w:val="Bullet"/>
        <w:numPr>
          <w:ilvl w:val="0"/>
          <w:numId w:val="1"/>
        </w:numPr>
      </w:pPr>
      <w:r>
        <w:t>Managing the LUST database</w:t>
      </w:r>
    </w:p>
    <w:p w:rsidR="00DC2FB6" w:rsidRDefault="00DC2FB6" w:rsidP="00DC2FB6">
      <w:pPr>
        <w:pStyle w:val="Bullet"/>
        <w:numPr>
          <w:ilvl w:val="0"/>
          <w:numId w:val="1"/>
        </w:numPr>
      </w:pPr>
      <w:r>
        <w:t>Responding to public records requests</w:t>
      </w:r>
    </w:p>
    <w:p w:rsidR="00DC2FB6" w:rsidRDefault="00DC2FB6" w:rsidP="00DC2FB6">
      <w:pPr>
        <w:pStyle w:val="Bullet"/>
        <w:numPr>
          <w:ilvl w:val="0"/>
          <w:numId w:val="1"/>
        </w:numPr>
      </w:pPr>
      <w:r>
        <w:t>Setting the general direction of the LUST program</w:t>
      </w:r>
    </w:p>
    <w:p w:rsidR="00DC2FB6" w:rsidRDefault="00DC2FB6" w:rsidP="00DC2FB6">
      <w:pPr>
        <w:pStyle w:val="BodyText"/>
      </w:pPr>
      <w:r>
        <w:t>The six regional offices are responsible for the following tasks:</w:t>
      </w:r>
    </w:p>
    <w:p w:rsidR="00DC2FB6" w:rsidRDefault="00DC2FB6" w:rsidP="00DC2FB6">
      <w:pPr>
        <w:pStyle w:val="Bullet"/>
        <w:numPr>
          <w:ilvl w:val="0"/>
          <w:numId w:val="1"/>
        </w:numPr>
      </w:pPr>
      <w:r>
        <w:t>Conducting field inspections related to complaints</w:t>
      </w:r>
    </w:p>
    <w:p w:rsidR="00DC2FB6" w:rsidRDefault="00DC2FB6" w:rsidP="00DC2FB6">
      <w:pPr>
        <w:pStyle w:val="Bullet"/>
        <w:numPr>
          <w:ilvl w:val="0"/>
          <w:numId w:val="1"/>
        </w:numPr>
      </w:pPr>
      <w:r>
        <w:t>Performing follow-up on reported confirmed releases</w:t>
      </w:r>
    </w:p>
    <w:p w:rsidR="00DC2FB6" w:rsidRDefault="00DC2FB6" w:rsidP="00DC2FB6">
      <w:pPr>
        <w:pStyle w:val="Bullet"/>
        <w:numPr>
          <w:ilvl w:val="0"/>
          <w:numId w:val="1"/>
        </w:numPr>
      </w:pPr>
      <w:r>
        <w:t>Providing owners and operators with comments on LUST site issues</w:t>
      </w:r>
    </w:p>
    <w:p w:rsidR="00DC2FB6" w:rsidRDefault="00DC2FB6" w:rsidP="00DC2FB6">
      <w:pPr>
        <w:pStyle w:val="Bullet"/>
        <w:numPr>
          <w:ilvl w:val="0"/>
          <w:numId w:val="1"/>
        </w:numPr>
      </w:pPr>
      <w:r>
        <w:t>Requesting enforcement actions</w:t>
      </w:r>
    </w:p>
    <w:p w:rsidR="00DC2FB6" w:rsidRDefault="00DC2FB6" w:rsidP="00DC2FB6">
      <w:pPr>
        <w:pStyle w:val="Bullet"/>
        <w:numPr>
          <w:ilvl w:val="0"/>
          <w:numId w:val="1"/>
        </w:numPr>
      </w:pPr>
      <w:r>
        <w:t>Overseeing and reviewing LUST site information</w:t>
      </w:r>
    </w:p>
    <w:p w:rsidR="00DC2FB6" w:rsidRDefault="00DC2FB6" w:rsidP="00DC2FB6">
      <w:pPr>
        <w:pStyle w:val="Bullet"/>
        <w:numPr>
          <w:ilvl w:val="0"/>
          <w:numId w:val="1"/>
        </w:numPr>
      </w:pPr>
      <w:r>
        <w:t>Overseeing and approving LUST corrective action plans</w:t>
      </w:r>
    </w:p>
    <w:p w:rsidR="00DC2FB6" w:rsidRPr="00183CB4" w:rsidRDefault="00DC2FB6" w:rsidP="00DC2FB6">
      <w:pPr>
        <w:pStyle w:val="Bullet"/>
        <w:numPr>
          <w:ilvl w:val="0"/>
          <w:numId w:val="1"/>
        </w:numPr>
      </w:pPr>
      <w:r>
        <w:t>O</w:t>
      </w:r>
      <w:r w:rsidRPr="00183CB4">
        <w:t>verseeing site cleanups based on corrective action plans</w:t>
      </w:r>
    </w:p>
    <w:p w:rsidR="00DC2FB6" w:rsidRDefault="00DC2FB6" w:rsidP="00DC2FB6">
      <w:pPr>
        <w:pStyle w:val="Bullet"/>
        <w:numPr>
          <w:ilvl w:val="0"/>
          <w:numId w:val="1"/>
        </w:numPr>
      </w:pPr>
      <w:r>
        <w:t>Responding to public records requests</w:t>
      </w:r>
    </w:p>
    <w:p w:rsidR="00DC2FB6" w:rsidRDefault="00DC2FB6" w:rsidP="00DC2FB6">
      <w:pPr>
        <w:pStyle w:val="Bullet"/>
        <w:numPr>
          <w:ilvl w:val="0"/>
          <w:numId w:val="1"/>
        </w:numPr>
      </w:pPr>
      <w:r>
        <w:t>Recording performance measures</w:t>
      </w:r>
    </w:p>
    <w:p w:rsidR="00DC2FB6" w:rsidRDefault="00DC2FB6" w:rsidP="00DC2FB6">
      <w:pPr>
        <w:pStyle w:val="BodyText"/>
      </w:pPr>
      <w:r>
        <w:t>The following are typical steps that occur during release reporting and corrective action circumstances:</w:t>
      </w:r>
    </w:p>
    <w:p w:rsidR="00DC2FB6" w:rsidRDefault="00DC2FB6" w:rsidP="00DC2FB6">
      <w:pPr>
        <w:pStyle w:val="Number"/>
        <w:numPr>
          <w:ilvl w:val="0"/>
          <w:numId w:val="3"/>
        </w:numPr>
      </w:pPr>
      <w:r>
        <w:lastRenderedPageBreak/>
        <w:t>All suspected releases must be reported by the owner or operator to the Department within 24 hours.</w:t>
      </w:r>
    </w:p>
    <w:p w:rsidR="00DC2FB6" w:rsidRPr="00904E1C" w:rsidRDefault="00DC2FB6" w:rsidP="00DC2FB6">
      <w:pPr>
        <w:pStyle w:val="Number"/>
        <w:numPr>
          <w:ilvl w:val="0"/>
          <w:numId w:val="3"/>
        </w:numPr>
      </w:pPr>
      <w:r w:rsidRPr="00904E1C">
        <w:t xml:space="preserve">All suspected releases must be investigated and confirmed </w:t>
      </w:r>
      <w:r>
        <w:t xml:space="preserve">by the Department </w:t>
      </w:r>
      <w:r w:rsidRPr="00904E1C">
        <w:t>within 7 days</w:t>
      </w:r>
      <w:r>
        <w:t>.</w:t>
      </w:r>
    </w:p>
    <w:p w:rsidR="00DC2FB6" w:rsidRDefault="00DC2FB6" w:rsidP="00DC2FB6">
      <w:pPr>
        <w:pStyle w:val="Number"/>
        <w:numPr>
          <w:ilvl w:val="0"/>
          <w:numId w:val="3"/>
        </w:numPr>
      </w:pPr>
      <w:r>
        <w:t>If the release is confirmed, the UST owner or operator must perform the initial response actions within 24 hours of confirmation.  Such actions prevent further releases and mitigate fire hazards.</w:t>
      </w:r>
    </w:p>
    <w:p w:rsidR="00DC2FB6" w:rsidRDefault="00DC2FB6" w:rsidP="00DC2FB6">
      <w:pPr>
        <w:pStyle w:val="Number"/>
        <w:numPr>
          <w:ilvl w:val="0"/>
          <w:numId w:val="3"/>
        </w:numPr>
      </w:pPr>
      <w:r>
        <w:t>Within 20 days or another reasonable time period after release confirmation, the owner or operator must submit to the Department a report summarizing the initial response steps.</w:t>
      </w:r>
    </w:p>
    <w:p w:rsidR="00DC2FB6" w:rsidRDefault="00DC2FB6" w:rsidP="00DC2FB6">
      <w:pPr>
        <w:pStyle w:val="Number"/>
        <w:numPr>
          <w:ilvl w:val="0"/>
          <w:numId w:val="3"/>
        </w:numPr>
      </w:pPr>
      <w:r>
        <w:t>A site characterization report needs to be submitted within 45 days of release confirmation.  This would include a free product removal report, if needed.</w:t>
      </w:r>
    </w:p>
    <w:p w:rsidR="00DC2FB6" w:rsidRPr="006C0CAE" w:rsidRDefault="00DC2FB6" w:rsidP="00DC2FB6">
      <w:pPr>
        <w:pStyle w:val="Number"/>
        <w:numPr>
          <w:ilvl w:val="0"/>
          <w:numId w:val="3"/>
        </w:numPr>
      </w:pPr>
      <w:r>
        <w:t>The owner or operator must submit a</w:t>
      </w:r>
      <w:r w:rsidRPr="006C0CAE">
        <w:t xml:space="preserve"> corrective action plan </w:t>
      </w:r>
      <w:r>
        <w:t xml:space="preserve">for the Department’s approval </w:t>
      </w:r>
      <w:r w:rsidRPr="006C0CAE">
        <w:t>that responds to the contaminated soils, surface water, and/or ground</w:t>
      </w:r>
      <w:r>
        <w:t xml:space="preserve"> </w:t>
      </w:r>
      <w:r w:rsidRPr="006C0CAE">
        <w:t>water.</w:t>
      </w:r>
    </w:p>
    <w:p w:rsidR="00DC2FB6" w:rsidRDefault="00DC2FB6" w:rsidP="00DC2FB6">
      <w:pPr>
        <w:pStyle w:val="Number"/>
        <w:numPr>
          <w:ilvl w:val="0"/>
          <w:numId w:val="3"/>
        </w:numPr>
      </w:pPr>
      <w:r>
        <w:t xml:space="preserve">The regional office LUST staff must submit a consent order referral package to the state office for evaluation, and if necessary, prepare and submit a consent order to the responsible party. </w:t>
      </w:r>
    </w:p>
    <w:p w:rsidR="00DC2FB6" w:rsidRDefault="00DC2FB6" w:rsidP="00DC2FB6">
      <w:pPr>
        <w:pStyle w:val="Number"/>
        <w:numPr>
          <w:ilvl w:val="0"/>
          <w:numId w:val="3"/>
        </w:numPr>
      </w:pPr>
      <w:r>
        <w:t>The responsible party must negotiate terms and/or sign the consent order within 30 days of receiving the consent order.</w:t>
      </w:r>
    </w:p>
    <w:p w:rsidR="00DC2FB6" w:rsidRDefault="00DC2FB6" w:rsidP="00DC2FB6">
      <w:pPr>
        <w:pStyle w:val="Number"/>
        <w:numPr>
          <w:ilvl w:val="0"/>
          <w:numId w:val="3"/>
        </w:numPr>
      </w:pPr>
      <w:r>
        <w:t>The regional LUST staff, with support from the state office, approves the corrective action plan, which becomes an enforceable part of the consent order.</w:t>
      </w:r>
    </w:p>
    <w:p w:rsidR="00DC2FB6" w:rsidRPr="001B13F0" w:rsidRDefault="00DC2FB6" w:rsidP="00DC2FB6">
      <w:pPr>
        <w:pStyle w:val="Number"/>
        <w:numPr>
          <w:ilvl w:val="0"/>
          <w:numId w:val="3"/>
        </w:numPr>
      </w:pPr>
      <w:r w:rsidRPr="001B13F0">
        <w:t xml:space="preserve">A </w:t>
      </w:r>
      <w:r>
        <w:t>s</w:t>
      </w:r>
      <w:r w:rsidRPr="001B13F0">
        <w:t xml:space="preserve">chedule and </w:t>
      </w:r>
      <w:r>
        <w:t>c</w:t>
      </w:r>
      <w:r w:rsidRPr="001B13F0">
        <w:t xml:space="preserve">riteria will be issued if owners and operators cannot reach an agreement with the Department </w:t>
      </w:r>
      <w:r>
        <w:t xml:space="preserve">on the terms of the consent order and can be issued </w:t>
      </w:r>
      <w:r w:rsidRPr="001B13F0">
        <w:t>within 30 days</w:t>
      </w:r>
      <w:r>
        <w:t xml:space="preserve"> after issuance of the consent order.</w:t>
      </w:r>
    </w:p>
    <w:p w:rsidR="00DC2FB6" w:rsidRPr="001B13F0" w:rsidRDefault="00DC2FB6" w:rsidP="00DC2FB6">
      <w:pPr>
        <w:pStyle w:val="Number"/>
        <w:numPr>
          <w:ilvl w:val="0"/>
          <w:numId w:val="3"/>
        </w:numPr>
      </w:pPr>
      <w:r w:rsidRPr="001B13F0">
        <w:t>If a corrective action plan is prepared, the Department must provide notice to the</w:t>
      </w:r>
      <w:r>
        <w:t xml:space="preserve"> affected </w:t>
      </w:r>
      <w:r w:rsidRPr="001B13F0">
        <w:t>public and receive comments and address them before the corrective action plan can be approved</w:t>
      </w:r>
      <w:r>
        <w:t>.</w:t>
      </w:r>
    </w:p>
    <w:p w:rsidR="00DC2FB6" w:rsidRPr="001B13F0" w:rsidRDefault="00DC2FB6" w:rsidP="00DC2FB6">
      <w:pPr>
        <w:pStyle w:val="Number"/>
        <w:numPr>
          <w:ilvl w:val="0"/>
          <w:numId w:val="3"/>
        </w:numPr>
      </w:pPr>
      <w:r w:rsidRPr="001B13F0">
        <w:t>Within 90 days of a confirmed release</w:t>
      </w:r>
      <w:r>
        <w:t>,</w:t>
      </w:r>
      <w:r w:rsidRPr="001B13F0">
        <w:t xml:space="preserve"> the owner or operator must submit a report to the Department identifying the release source and cause</w:t>
      </w:r>
      <w:r>
        <w:t>.</w:t>
      </w:r>
      <w:r w:rsidRPr="001B13F0">
        <w:t xml:space="preserve"> </w:t>
      </w:r>
    </w:p>
    <w:p w:rsidR="00DC2FB6" w:rsidRDefault="00DC2FB6" w:rsidP="00DC2FB6">
      <w:pPr>
        <w:pStyle w:val="BodyText"/>
      </w:pPr>
      <w:r>
        <w:t>Department LUST staff address the reporting and cleanup of spills and overfills in the same manner as other confirmed releases unless this activity results in a release of less than 25 gallons, does not cause a sheen on nearby surface water, and is cleaned up within 24 hours.  Hazardous substance releases are managed by the Department’s hazardous waste management staff.</w:t>
      </w:r>
    </w:p>
    <w:p w:rsidR="00DC2FB6" w:rsidRDefault="00DC2FB6" w:rsidP="00DC2FB6">
      <w:pPr>
        <w:pStyle w:val="BodyText"/>
        <w:rPr>
          <w:bCs/>
        </w:rPr>
      </w:pPr>
      <w:r>
        <w:rPr>
          <w:bCs/>
        </w:rPr>
        <w:t>The Department’s UST and LUST staff work together on site discovery and confirming suspected releases.  R</w:t>
      </w:r>
      <w:r>
        <w:t>eporting of suspected releases not due to offsite impacts is handled by the UST staff, while reporting of suspected releases due to offsite impacts is handled by the LUST staff.  If an UST inspector suspects a release during an inspection, the inspector will work with the owner or operator to confirm or deny the suspected release.  If the release is confirmed, the UST inspector will turn the case over to the LUST staff.</w:t>
      </w:r>
    </w:p>
    <w:p w:rsidR="00DC2FB6" w:rsidRDefault="00DC2FB6" w:rsidP="00DC2FB6">
      <w:pPr>
        <w:pStyle w:val="BodyText"/>
      </w:pPr>
      <w:r w:rsidRPr="000A78C7">
        <w:lastRenderedPageBreak/>
        <w:t>Department LUST staff are on</w:t>
      </w:r>
      <w:r>
        <w:t xml:space="preserve"> </w:t>
      </w:r>
      <w:r w:rsidRPr="000A78C7">
        <w:t xml:space="preserve">site during </w:t>
      </w:r>
      <w:r>
        <w:t>tank closure</w:t>
      </w:r>
      <w:r w:rsidRPr="000A78C7">
        <w:t xml:space="preserve"> activities and require environmental contractors to sample in certain locations such as the former tank basin, every 20 feet of a piping run, and dispenser areas</w:t>
      </w:r>
      <w:r w:rsidRPr="00762E16">
        <w:t xml:space="preserve">.  The LUST staff document and map the </w:t>
      </w:r>
      <w:r>
        <w:t>tank closure</w:t>
      </w:r>
      <w:r w:rsidRPr="00762E16">
        <w:t xml:space="preserve"> activities in their field book.</w:t>
      </w:r>
    </w:p>
    <w:p w:rsidR="00DC2FB6" w:rsidRPr="00762E16" w:rsidRDefault="00DC2FB6" w:rsidP="00DC2FB6">
      <w:pPr>
        <w:pStyle w:val="BodyText"/>
      </w:pPr>
      <w:r w:rsidRPr="00762E16">
        <w:t xml:space="preserve">The Department’s LUST staff use the UST/LUST database to track LUST site progress.  The database contains </w:t>
      </w:r>
      <w:r>
        <w:t xml:space="preserve">known </w:t>
      </w:r>
      <w:r w:rsidRPr="00762E16">
        <w:t>information on the release</w:t>
      </w:r>
      <w:r>
        <w:t>,</w:t>
      </w:r>
      <w:r w:rsidRPr="00762E16">
        <w:t xml:space="preserve"> such as </w:t>
      </w:r>
      <w:r>
        <w:t xml:space="preserve">the cleanup </w:t>
      </w:r>
      <w:r w:rsidRPr="00762E16">
        <w:t>project manager</w:t>
      </w:r>
      <w:r>
        <w:t>;</w:t>
      </w:r>
      <w:r w:rsidRPr="00762E16">
        <w:t xml:space="preserve"> who reported the release</w:t>
      </w:r>
      <w:r>
        <w:t>;</w:t>
      </w:r>
      <w:r w:rsidRPr="00762E16">
        <w:t xml:space="preserve"> how the release was detected</w:t>
      </w:r>
      <w:r>
        <w:t>;</w:t>
      </w:r>
      <w:r w:rsidRPr="00762E16">
        <w:t xml:space="preserve"> </w:t>
      </w:r>
      <w:r w:rsidRPr="002A78C4">
        <w:t>the</w:t>
      </w:r>
      <w:r w:rsidRPr="00762E16">
        <w:t xml:space="preserve"> source, cause, and amount</w:t>
      </w:r>
      <w:r>
        <w:t xml:space="preserve"> of the release;</w:t>
      </w:r>
      <w:r w:rsidRPr="00762E16">
        <w:t xml:space="preserve"> which tank</w:t>
      </w:r>
      <w:r>
        <w:t> </w:t>
      </w:r>
      <w:r w:rsidRPr="00762E16">
        <w:t>/</w:t>
      </w:r>
      <w:r>
        <w:t> </w:t>
      </w:r>
      <w:r w:rsidRPr="00762E16">
        <w:t>piping run</w:t>
      </w:r>
      <w:r>
        <w:t> </w:t>
      </w:r>
      <w:r w:rsidRPr="00762E16">
        <w:t>/</w:t>
      </w:r>
      <w:r>
        <w:t> </w:t>
      </w:r>
      <w:r w:rsidRPr="00762E16">
        <w:t>dispenser had the release</w:t>
      </w:r>
      <w:r>
        <w:t>;</w:t>
      </w:r>
      <w:r w:rsidRPr="00762E16">
        <w:t xml:space="preserve"> what the receptors are</w:t>
      </w:r>
      <w:r>
        <w:t>;</w:t>
      </w:r>
      <w:r w:rsidRPr="00762E16">
        <w:t xml:space="preserve"> what cleanup method </w:t>
      </w:r>
      <w:r>
        <w:t>was used;</w:t>
      </w:r>
      <w:r w:rsidRPr="00762E16">
        <w:t xml:space="preserve"> and all corresponding dates for when the release occurred, when cleanup started, and when cleanup ended.  For an example </w:t>
      </w:r>
      <w:r>
        <w:t xml:space="preserve">of a </w:t>
      </w:r>
      <w:r w:rsidRPr="00762E16">
        <w:t>LUST event database entry, see Appendix</w:t>
      </w:r>
      <w:r>
        <w:t> X</w:t>
      </w:r>
      <w:r w:rsidRPr="00762E16">
        <w:t xml:space="preserve">.  </w:t>
      </w:r>
    </w:p>
    <w:p w:rsidR="00DC2FB6" w:rsidRPr="00A575DB" w:rsidRDefault="00DC2FB6" w:rsidP="00DC2FB6">
      <w:pPr>
        <w:pStyle w:val="Heading3"/>
      </w:pPr>
      <w:r w:rsidRPr="00A575DB">
        <w:t xml:space="preserve">2.  Risk Evaluation Manual </w:t>
      </w:r>
      <w:r>
        <w:t>for Petroleum</w:t>
      </w:r>
      <w:r w:rsidRPr="00A575DB">
        <w:t xml:space="preserve"> </w:t>
      </w:r>
      <w:r>
        <w:t>Releases</w:t>
      </w:r>
      <w:r w:rsidRPr="00A575DB">
        <w:t xml:space="preserve"> (</w:t>
      </w:r>
      <w:r>
        <w:rPr>
          <w:bCs w:val="0"/>
        </w:rPr>
        <w:t>Petroleum</w:t>
      </w:r>
      <w:r w:rsidRPr="00A575DB">
        <w:t xml:space="preserve"> REM)</w:t>
      </w:r>
    </w:p>
    <w:p w:rsidR="00DC2FB6" w:rsidRDefault="00DC2FB6" w:rsidP="00DC2FB6">
      <w:pPr>
        <w:pStyle w:val="BodyText"/>
      </w:pPr>
      <w:r>
        <w:t>In May 2009, t</w:t>
      </w:r>
      <w:r w:rsidRPr="00A575DB">
        <w:t xml:space="preserve">he Idaho Legislature approved rules promulgated by </w:t>
      </w:r>
      <w:r>
        <w:t>the Department</w:t>
      </w:r>
      <w:r w:rsidRPr="00A575DB">
        <w:t xml:space="preserve"> and entitled </w:t>
      </w:r>
      <w:r>
        <w:t>“</w:t>
      </w:r>
      <w:r w:rsidRPr="008E09F1">
        <w:rPr>
          <w:rStyle w:val="Emphasis"/>
          <w:rFonts w:cs="Arial"/>
          <w:i w:val="0"/>
        </w:rPr>
        <w:t>Standards and Procedures for Application of Risk Based Corrective Action at Petroleum Release Sites</w:t>
      </w:r>
      <w:r>
        <w:rPr>
          <w:rStyle w:val="Emphasis"/>
          <w:rFonts w:cs="Arial"/>
          <w:i w:val="0"/>
        </w:rPr>
        <w:t>”</w:t>
      </w:r>
      <w:r w:rsidRPr="00A575DB">
        <w:rPr>
          <w:rStyle w:val="Emphasis"/>
          <w:rFonts w:cs="Arial"/>
        </w:rPr>
        <w:t xml:space="preserve"> </w:t>
      </w:r>
      <w:r w:rsidRPr="000D5D9B">
        <w:rPr>
          <w:rStyle w:val="Emphasis"/>
          <w:rFonts w:cs="Arial"/>
          <w:i w:val="0"/>
        </w:rPr>
        <w:t>(IDAPA 58.01.24)</w:t>
      </w:r>
      <w:r>
        <w:rPr>
          <w:rStyle w:val="Emphasis"/>
          <w:rFonts w:cs="Arial"/>
          <w:i w:val="0"/>
        </w:rPr>
        <w:t xml:space="preserve"> (Appendix A)</w:t>
      </w:r>
      <w:r w:rsidRPr="00A575DB">
        <w:rPr>
          <w:rStyle w:val="Emphasis"/>
          <w:rFonts w:cs="Arial"/>
        </w:rPr>
        <w:t xml:space="preserve">. </w:t>
      </w:r>
      <w:r>
        <w:t>The</w:t>
      </w:r>
      <w:r w:rsidRPr="00A575DB">
        <w:t xml:space="preserve"> rules</w:t>
      </w:r>
      <w:r>
        <w:t xml:space="preserve"> required</w:t>
      </w:r>
      <w:r w:rsidRPr="00A575DB">
        <w:t xml:space="preserve"> </w:t>
      </w:r>
      <w:r>
        <w:t>the Department</w:t>
      </w:r>
      <w:r w:rsidRPr="00A575DB">
        <w:t xml:space="preserve"> </w:t>
      </w:r>
      <w:r>
        <w:t>to</w:t>
      </w:r>
      <w:r w:rsidRPr="00A575DB">
        <w:t xml:space="preserve"> prepare a </w:t>
      </w:r>
      <w:r>
        <w:t>r</w:t>
      </w:r>
      <w:r w:rsidRPr="00A575DB">
        <w:t xml:space="preserve">isk </w:t>
      </w:r>
      <w:r>
        <w:t>e</w:t>
      </w:r>
      <w:r w:rsidRPr="00A575DB">
        <w:t xml:space="preserve">valuation </w:t>
      </w:r>
      <w:r>
        <w:t>m</w:t>
      </w:r>
      <w:r w:rsidRPr="00A575DB">
        <w:t xml:space="preserve">anual for petroleum releases </w:t>
      </w:r>
      <w:r>
        <w:t>that</w:t>
      </w:r>
      <w:r w:rsidRPr="00A575DB">
        <w:t xml:space="preserve"> will be used as guidance</w:t>
      </w:r>
      <w:r>
        <w:t xml:space="preserve"> for implementation of the rules</w:t>
      </w:r>
      <w:r w:rsidRPr="00A575DB">
        <w:rPr>
          <w:rStyle w:val="Emphasis"/>
          <w:rFonts w:cs="Arial"/>
        </w:rPr>
        <w:t>.</w:t>
      </w:r>
      <w:r>
        <w:rPr>
          <w:rStyle w:val="Emphasis"/>
          <w:rFonts w:cs="Arial"/>
        </w:rPr>
        <w:t xml:space="preserve"> </w:t>
      </w:r>
      <w:r>
        <w:rPr>
          <w:rStyle w:val="Emphasis"/>
          <w:rFonts w:cs="Arial"/>
          <w:i w:val="0"/>
        </w:rPr>
        <w:t>Development of this manual has been in progress since August 2009 and has involved the formation of a work group. It is anticipated that the guidance will be completed and provided to the public for comment and implementation in fall 2011, along with minor revisions to the rules.</w:t>
      </w:r>
      <w:r>
        <w:rPr>
          <w:bCs/>
        </w:rPr>
        <w:t xml:space="preserve"> The following website includes the latest draft of the petroleum REM: </w:t>
      </w:r>
      <w:hyperlink r:id="rId7" w:history="1">
        <w:r w:rsidRPr="00414E11">
          <w:rPr>
            <w:rStyle w:val="Hyperlink"/>
            <w:bCs/>
          </w:rPr>
          <w:t>www.deq.idaho.gov/risk-evaluation-manual</w:t>
        </w:r>
      </w:hyperlink>
      <w:r>
        <w:rPr>
          <w:bCs/>
        </w:rPr>
        <w:t xml:space="preserve">. </w:t>
      </w:r>
      <w:r w:rsidRPr="00762E16">
        <w:rPr>
          <w:bCs/>
        </w:rPr>
        <w:t xml:space="preserve">The </w:t>
      </w:r>
      <w:r>
        <w:rPr>
          <w:bCs/>
        </w:rPr>
        <w:t xml:space="preserve">draft petroleum REM </w:t>
      </w:r>
      <w:r w:rsidRPr="00762E16">
        <w:t>presents a roadmap for evaluating risk</w:t>
      </w:r>
      <w:r>
        <w:t>—</w:t>
      </w:r>
      <w:r w:rsidRPr="00762E16">
        <w:t>from discovery through cleanup</w:t>
      </w:r>
      <w:r>
        <w:t xml:space="preserve">—at petroleum release sites. </w:t>
      </w:r>
    </w:p>
    <w:p w:rsidR="00DC2FB6" w:rsidRPr="00762E16" w:rsidRDefault="00DC2FB6" w:rsidP="00DC2FB6">
      <w:pPr>
        <w:pStyle w:val="BodyText"/>
      </w:pPr>
      <w:r>
        <w:t>The petroleum REM is used</w:t>
      </w:r>
      <w:r w:rsidRPr="00762E16">
        <w:t xml:space="preserve"> to determine whether ground</w:t>
      </w:r>
      <w:r>
        <w:t xml:space="preserve"> </w:t>
      </w:r>
      <w:r w:rsidRPr="00762E16">
        <w:t>water, surface water, soil</w:t>
      </w:r>
      <w:r>
        <w:t>, or soil vapor</w:t>
      </w:r>
      <w:r w:rsidRPr="00762E16">
        <w:t xml:space="preserve"> at a particular location is contaminated to the extent it poses a human health risk.  </w:t>
      </w:r>
      <w:r>
        <w:t>The manual</w:t>
      </w:r>
      <w:r w:rsidRPr="00762E16">
        <w:t xml:space="preserve"> guides Department employees and others in responding when chemicals are released </w:t>
      </w:r>
      <w:r>
        <w:t>in</w:t>
      </w:r>
      <w:r w:rsidRPr="00762E16">
        <w:t xml:space="preserve">to the environment.  It helps </w:t>
      </w:r>
      <w:r>
        <w:t xml:space="preserve">the Department </w:t>
      </w:r>
      <w:r w:rsidRPr="00762E16">
        <w:t xml:space="preserve">evaluate whether an investigation or cleanup is needed and, if so, what its scope and nature should be.  The manual </w:t>
      </w:r>
      <w:r>
        <w:t>provides a</w:t>
      </w:r>
      <w:r w:rsidRPr="00762E16">
        <w:t xml:space="preserve"> brief description of the steps in the risk evaluation process</w:t>
      </w:r>
      <w:r>
        <w:t>, gives</w:t>
      </w:r>
      <w:r w:rsidRPr="00762E16">
        <w:t xml:space="preserve"> general information related to the data requirements and implementation of the risk evaluation process</w:t>
      </w:r>
      <w:r>
        <w:t>, and then describes in detail</w:t>
      </w:r>
      <w:r w:rsidRPr="00762E16">
        <w:t xml:space="preserve"> each of the steps in the</w:t>
      </w:r>
      <w:r>
        <w:t xml:space="preserve"> risk evaluation</w:t>
      </w:r>
      <w:r w:rsidRPr="00762E16">
        <w:t xml:space="preserve"> process</w:t>
      </w:r>
      <w:r>
        <w:t xml:space="preserve"> including corrective action plans and activity and use limitations. </w:t>
      </w:r>
    </w:p>
    <w:p w:rsidR="00DC2FB6" w:rsidRPr="00762E16" w:rsidRDefault="00DC2FB6" w:rsidP="00DC2FB6">
      <w:pPr>
        <w:pStyle w:val="BodyText"/>
      </w:pPr>
      <w:r w:rsidRPr="00762E16">
        <w:t xml:space="preserve">The </w:t>
      </w:r>
      <w:r>
        <w:t xml:space="preserve">manual includes </w:t>
      </w:r>
      <w:r w:rsidRPr="00762E16">
        <w:t xml:space="preserve">appendices </w:t>
      </w:r>
      <w:r>
        <w:t xml:space="preserve">which </w:t>
      </w:r>
      <w:r w:rsidRPr="00762E16">
        <w:t xml:space="preserve">contain information to assist in </w:t>
      </w:r>
      <w:r>
        <w:t>implementing</w:t>
      </w:r>
      <w:r w:rsidRPr="00762E16">
        <w:t xml:space="preserve"> the </w:t>
      </w:r>
      <w:r>
        <w:t xml:space="preserve">risk </w:t>
      </w:r>
      <w:r w:rsidRPr="00762E16">
        <w:t>evaluation process. This information includes</w:t>
      </w:r>
      <w:r>
        <w:t xml:space="preserve"> the following elements</w:t>
      </w:r>
      <w:r w:rsidRPr="00762E16">
        <w:t xml:space="preserve">: </w:t>
      </w:r>
    </w:p>
    <w:p w:rsidR="00DC2FB6" w:rsidRPr="00762E16" w:rsidRDefault="00DC2FB6" w:rsidP="00DC2FB6">
      <w:pPr>
        <w:pStyle w:val="Bullet"/>
        <w:numPr>
          <w:ilvl w:val="0"/>
          <w:numId w:val="1"/>
        </w:numPr>
      </w:pPr>
      <w:r>
        <w:t>Residential use screening</w:t>
      </w:r>
      <w:r w:rsidRPr="00762E16">
        <w:t xml:space="preserve"> </w:t>
      </w:r>
      <w:r>
        <w:t>l</w:t>
      </w:r>
      <w:r w:rsidRPr="00762E16">
        <w:t>evels (</w:t>
      </w:r>
      <w:r>
        <w:t>RUSL</w:t>
      </w:r>
      <w:r w:rsidRPr="00762E16">
        <w:t xml:space="preserve">s) for </w:t>
      </w:r>
      <w:r>
        <w:t>selected</w:t>
      </w:r>
      <w:r w:rsidRPr="00762E16">
        <w:t xml:space="preserve"> chemicals </w:t>
      </w:r>
    </w:p>
    <w:p w:rsidR="00DC2FB6" w:rsidRPr="00762E16" w:rsidRDefault="00DC2FB6" w:rsidP="00DC2FB6">
      <w:pPr>
        <w:pStyle w:val="Bullet"/>
        <w:numPr>
          <w:ilvl w:val="0"/>
          <w:numId w:val="1"/>
        </w:numPr>
      </w:pPr>
      <w:r>
        <w:t>P</w:t>
      </w:r>
      <w:r w:rsidRPr="00762E16">
        <w:t>hysical, chemical, and toxicological values for these chemicals</w:t>
      </w:r>
    </w:p>
    <w:p w:rsidR="00DC2FB6" w:rsidRPr="00762E16" w:rsidRDefault="00DC2FB6" w:rsidP="00DC2FB6">
      <w:pPr>
        <w:pStyle w:val="Bullet"/>
        <w:numPr>
          <w:ilvl w:val="0"/>
          <w:numId w:val="1"/>
        </w:numPr>
      </w:pPr>
      <w:r>
        <w:t>R</w:t>
      </w:r>
      <w:r w:rsidRPr="00762E16">
        <w:t xml:space="preserve">ationale for the selection of screening default fate and transport and exposure factor parameter values </w:t>
      </w:r>
    </w:p>
    <w:p w:rsidR="00DC2FB6" w:rsidRDefault="00DC2FB6" w:rsidP="00DC2FB6">
      <w:pPr>
        <w:pStyle w:val="Bullet"/>
        <w:numPr>
          <w:ilvl w:val="0"/>
          <w:numId w:val="1"/>
        </w:numPr>
      </w:pPr>
      <w:r>
        <w:t>E</w:t>
      </w:r>
      <w:r w:rsidRPr="00762E16">
        <w:t xml:space="preserve">quations </w:t>
      </w:r>
      <w:r>
        <w:t>used</w:t>
      </w:r>
      <w:r w:rsidRPr="00762E16">
        <w:t xml:space="preserve"> in the calculations, guidance on natural attenuation</w:t>
      </w:r>
      <w:r>
        <w:t>,</w:t>
      </w:r>
      <w:r w:rsidRPr="00762E16">
        <w:t xml:space="preserve"> and evaluation of the vapor intrusion pathway</w:t>
      </w:r>
    </w:p>
    <w:p w:rsidR="00DC2FB6" w:rsidRPr="00762E16" w:rsidRDefault="00DC2FB6" w:rsidP="00DC2FB6">
      <w:pPr>
        <w:pStyle w:val="Bullet"/>
        <w:numPr>
          <w:ilvl w:val="0"/>
          <w:numId w:val="1"/>
        </w:numPr>
      </w:pPr>
      <w:r>
        <w:lastRenderedPageBreak/>
        <w:t>Interpretation of practical quantitation limits as cleanup criteria</w:t>
      </w:r>
    </w:p>
    <w:p w:rsidR="00DC2FB6" w:rsidRPr="00762E16" w:rsidRDefault="00DC2FB6" w:rsidP="00DC2FB6">
      <w:pPr>
        <w:pStyle w:val="Bullet"/>
        <w:numPr>
          <w:ilvl w:val="0"/>
          <w:numId w:val="1"/>
        </w:numPr>
      </w:pPr>
      <w:r>
        <w:t>Estimation of exposure point concentrations</w:t>
      </w:r>
    </w:p>
    <w:p w:rsidR="00DC2FB6" w:rsidRDefault="00DC2FB6" w:rsidP="00DC2FB6">
      <w:pPr>
        <w:pStyle w:val="Bullet"/>
        <w:numPr>
          <w:ilvl w:val="0"/>
          <w:numId w:val="1"/>
        </w:numPr>
      </w:pPr>
      <w:r>
        <w:t>E</w:t>
      </w:r>
      <w:r w:rsidRPr="00762E16">
        <w:t xml:space="preserve">xamples of reporting formats </w:t>
      </w:r>
    </w:p>
    <w:p w:rsidR="00DC2FB6" w:rsidRPr="00762E16" w:rsidRDefault="00DC2FB6" w:rsidP="00DC2FB6">
      <w:pPr>
        <w:pStyle w:val="Bullet"/>
        <w:numPr>
          <w:ilvl w:val="0"/>
          <w:numId w:val="1"/>
        </w:numPr>
      </w:pPr>
      <w:r>
        <w:t>Activity and use limitations</w:t>
      </w:r>
      <w:r w:rsidRPr="00762E16">
        <w:t xml:space="preserve"> </w:t>
      </w:r>
      <w:r>
        <w:t>and environmental covenant discussion</w:t>
      </w:r>
    </w:p>
    <w:p w:rsidR="00DC2FB6" w:rsidRPr="00762E16" w:rsidRDefault="00DC2FB6" w:rsidP="00DC2FB6">
      <w:pPr>
        <w:pStyle w:val="BodyText"/>
      </w:pPr>
      <w:r w:rsidRPr="00762E16">
        <w:t>Three software applications are provided to complement and assist in implementation of the risk evaluation process. All three are Microsoft Excel spreadsheets</w:t>
      </w:r>
      <w:r>
        <w:t>:</w:t>
      </w:r>
    </w:p>
    <w:p w:rsidR="00DC2FB6" w:rsidRPr="00762E16" w:rsidRDefault="00DC2FB6" w:rsidP="00DC2FB6">
      <w:pPr>
        <w:pStyle w:val="Bullet"/>
        <w:numPr>
          <w:ilvl w:val="0"/>
          <w:numId w:val="1"/>
        </w:numPr>
      </w:pPr>
      <w:r w:rsidRPr="00762E16">
        <w:t>A computational application to calculate risks and targets levels</w:t>
      </w:r>
    </w:p>
    <w:p w:rsidR="00DC2FB6" w:rsidRPr="00762E16" w:rsidRDefault="00DC2FB6" w:rsidP="00DC2FB6">
      <w:pPr>
        <w:pStyle w:val="Bullet"/>
        <w:numPr>
          <w:ilvl w:val="0"/>
          <w:numId w:val="1"/>
        </w:numPr>
      </w:pPr>
      <w:r w:rsidRPr="00762E16">
        <w:t>A utility to conduct a Mann-Kendall analysis of trend for up to five chemicals and ten sampling events</w:t>
      </w:r>
    </w:p>
    <w:p w:rsidR="00DC2FB6" w:rsidRPr="00762E16" w:rsidRDefault="00DC2FB6" w:rsidP="00DC2FB6">
      <w:pPr>
        <w:pStyle w:val="Bullet"/>
        <w:numPr>
          <w:ilvl w:val="0"/>
          <w:numId w:val="1"/>
        </w:numPr>
      </w:pPr>
      <w:r w:rsidRPr="00762E16">
        <w:t xml:space="preserve">A utility to calculate the 95% </w:t>
      </w:r>
      <w:r>
        <w:t>u</w:t>
      </w:r>
      <w:r w:rsidRPr="00762E16">
        <w:t xml:space="preserve">pper </w:t>
      </w:r>
      <w:r>
        <w:t>c</w:t>
      </w:r>
      <w:r w:rsidRPr="00762E16">
        <w:t xml:space="preserve">onfidence </w:t>
      </w:r>
      <w:r>
        <w:t>l</w:t>
      </w:r>
      <w:r w:rsidRPr="00762E16">
        <w:t xml:space="preserve">imit (95% UCL) of the mean for chemical concentration data. The utility calculates the 95% UCL for normal and log-normal distributed sample data, as well as a bootstrap-t estimate. </w:t>
      </w:r>
    </w:p>
    <w:p w:rsidR="00DC2FB6" w:rsidRDefault="00DC2FB6" w:rsidP="00DC2FB6">
      <w:pPr>
        <w:pStyle w:val="BodyText"/>
      </w:pPr>
      <w:r w:rsidRPr="00762E16">
        <w:t xml:space="preserve">The Department’s website provides contact information for those persons wanting to take part in the REM training.  </w:t>
      </w:r>
      <w:r>
        <w:t xml:space="preserve">Upon finalization of the draft guidance, the </w:t>
      </w:r>
      <w:r w:rsidRPr="00762E16">
        <w:t xml:space="preserve">Department </w:t>
      </w:r>
      <w:r>
        <w:t>anticipates offering training to Department staff and the regulated community</w:t>
      </w:r>
      <w:r w:rsidRPr="00762E16">
        <w:t>.</w:t>
      </w:r>
    </w:p>
    <w:p w:rsidR="00DC2FB6" w:rsidRPr="00A575DB" w:rsidRDefault="00DC2FB6" w:rsidP="00DC2FB6">
      <w:pPr>
        <w:pStyle w:val="Heading3"/>
      </w:pPr>
      <w:r w:rsidRPr="00A575DB">
        <w:t>3.  Voluntary Cleanup Program (VCP)</w:t>
      </w:r>
    </w:p>
    <w:p w:rsidR="00DC2FB6" w:rsidRPr="00762E16" w:rsidRDefault="00DC2FB6" w:rsidP="00DC2FB6">
      <w:pPr>
        <w:pStyle w:val="BodyText"/>
      </w:pPr>
      <w:r w:rsidRPr="00762E16">
        <w:t xml:space="preserve">In 1996, the Idaho Legislature created the </w:t>
      </w:r>
      <w:hyperlink r:id="rId8" w:history="1">
        <w:r w:rsidRPr="00762E16">
          <w:t>Idaho Land Remediation Act</w:t>
        </w:r>
      </w:hyperlink>
      <w:r>
        <w:t xml:space="preserve"> (Title 39 Chapter 72, Idaho Code)</w:t>
      </w:r>
      <w:r w:rsidRPr="00762E16">
        <w:t xml:space="preserve">, </w:t>
      </w:r>
      <w:r>
        <w:t xml:space="preserve">which authorized </w:t>
      </w:r>
      <w:r w:rsidRPr="00762E16">
        <w:t xml:space="preserve">the Department’s </w:t>
      </w:r>
      <w:r>
        <w:t>VCP.  The VCP</w:t>
      </w:r>
      <w:r w:rsidRPr="00762E16">
        <w:t xml:space="preserve"> encourage</w:t>
      </w:r>
      <w:r>
        <w:t>s</w:t>
      </w:r>
      <w:r w:rsidRPr="00762E16">
        <w:t xml:space="preserve"> innovation and cooperation between the </w:t>
      </w:r>
      <w:r>
        <w:t>State</w:t>
      </w:r>
      <w:r w:rsidRPr="00762E16">
        <w:t>, local communities</w:t>
      </w:r>
      <w:r>
        <w:t>,</w:t>
      </w:r>
      <w:r w:rsidRPr="00762E16">
        <w:t xml:space="preserve"> and private parties working to revitalize properties with hazardous substance or petroleum contamination.</w:t>
      </w:r>
      <w:r>
        <w:t xml:space="preserve"> </w:t>
      </w:r>
      <w:r w:rsidRPr="00762E16">
        <w:t xml:space="preserve"> In 1997, the Department developed the </w:t>
      </w:r>
      <w:r>
        <w:t>“</w:t>
      </w:r>
      <w:hyperlink r:id="rId9" w:history="1">
        <w:r w:rsidRPr="00762E16">
          <w:t>Idaho Land Remediation Rules</w:t>
        </w:r>
      </w:hyperlink>
      <w:r>
        <w:t>”</w:t>
      </w:r>
      <w:r w:rsidRPr="00762E16">
        <w:t xml:space="preserve"> </w:t>
      </w:r>
      <w:r>
        <w:t xml:space="preserve">(IDAPA 58.01.18) </w:t>
      </w:r>
      <w:r w:rsidRPr="00762E16">
        <w:t xml:space="preserve">detailing implementation of the VCP.  The Department also created an application to participate in the program and </w:t>
      </w:r>
      <w:hyperlink r:id="rId10" w:history="1">
        <w:r w:rsidRPr="00762E16">
          <w:t>guidance</w:t>
        </w:r>
      </w:hyperlink>
      <w:r w:rsidRPr="00762E16">
        <w:t xml:space="preserve"> for completing the application. </w:t>
      </w:r>
    </w:p>
    <w:p w:rsidR="00DC2FB6" w:rsidRPr="00762E16" w:rsidRDefault="00DC2FB6" w:rsidP="00DC2FB6">
      <w:pPr>
        <w:pStyle w:val="BodyText"/>
      </w:pPr>
      <w:r>
        <w:t xml:space="preserve">A person may apply </w:t>
      </w:r>
      <w:r w:rsidRPr="00762E16">
        <w:t xml:space="preserve">to participate in the </w:t>
      </w:r>
      <w:r>
        <w:t xml:space="preserve">VCP. If accepted into the program, the applicant is </w:t>
      </w:r>
      <w:r w:rsidRPr="00762E16">
        <w:t>provided benefits</w:t>
      </w:r>
      <w:r>
        <w:t xml:space="preserve"> from the VCP, including the following</w:t>
      </w:r>
      <w:r w:rsidRPr="00762E16">
        <w:t>:</w:t>
      </w:r>
    </w:p>
    <w:p w:rsidR="00DC2FB6" w:rsidRPr="00762E16" w:rsidRDefault="00DC2FB6" w:rsidP="00DC2FB6">
      <w:pPr>
        <w:pStyle w:val="Bullet"/>
        <w:numPr>
          <w:ilvl w:val="0"/>
          <w:numId w:val="1"/>
        </w:numPr>
      </w:pPr>
      <w:r>
        <w:t>A</w:t>
      </w:r>
      <w:r w:rsidRPr="00762E16">
        <w:t>n expedited remediation process</w:t>
      </w:r>
    </w:p>
    <w:p w:rsidR="00DC2FB6" w:rsidRPr="00762E16" w:rsidRDefault="00DC2FB6" w:rsidP="00DC2FB6">
      <w:pPr>
        <w:pStyle w:val="Bullet"/>
        <w:numPr>
          <w:ilvl w:val="0"/>
          <w:numId w:val="1"/>
        </w:numPr>
      </w:pPr>
      <w:r>
        <w:t>A</w:t>
      </w:r>
      <w:r w:rsidRPr="00762E16">
        <w:t>voiding an adversarial enforcement action</w:t>
      </w:r>
    </w:p>
    <w:p w:rsidR="00DC2FB6" w:rsidRPr="00762E16" w:rsidRDefault="00DC2FB6" w:rsidP="00DC2FB6">
      <w:pPr>
        <w:pStyle w:val="Bullet"/>
        <w:numPr>
          <w:ilvl w:val="0"/>
          <w:numId w:val="1"/>
        </w:numPr>
      </w:pPr>
      <w:r>
        <w:t>A</w:t>
      </w:r>
      <w:r w:rsidRPr="00762E16">
        <w:t xml:space="preserve"> </w:t>
      </w:r>
      <w:r>
        <w:t>7</w:t>
      </w:r>
      <w:r w:rsidRPr="00762E16">
        <w:t>-year partial property tax exemption</w:t>
      </w:r>
    </w:p>
    <w:p w:rsidR="00DC2FB6" w:rsidRPr="00762E16" w:rsidRDefault="00DC2FB6" w:rsidP="00DC2FB6">
      <w:pPr>
        <w:pStyle w:val="Bullet"/>
        <w:numPr>
          <w:ilvl w:val="0"/>
          <w:numId w:val="1"/>
        </w:numPr>
      </w:pPr>
      <w:r>
        <w:t>A</w:t>
      </w:r>
      <w:r w:rsidRPr="00762E16">
        <w:t xml:space="preserve"> “Covenant Not to Sue” from the Department</w:t>
      </w:r>
    </w:p>
    <w:p w:rsidR="00DC2FB6" w:rsidRPr="00762E16" w:rsidRDefault="00DC2FB6" w:rsidP="00DC2FB6">
      <w:pPr>
        <w:pStyle w:val="Bullet"/>
        <w:numPr>
          <w:ilvl w:val="0"/>
          <w:numId w:val="1"/>
        </w:numPr>
      </w:pPr>
      <w:r>
        <w:t xml:space="preserve">The </w:t>
      </w:r>
      <w:r w:rsidRPr="00762E16">
        <w:t>use of institutional controls in cleanup plans</w:t>
      </w:r>
    </w:p>
    <w:p w:rsidR="00DC2FB6" w:rsidRPr="00762E16" w:rsidRDefault="00DC2FB6" w:rsidP="00DC2FB6">
      <w:pPr>
        <w:pStyle w:val="Bullet"/>
        <w:numPr>
          <w:ilvl w:val="0"/>
          <w:numId w:val="1"/>
        </w:numPr>
      </w:pPr>
      <w:r w:rsidRPr="00762E16">
        <w:t>“</w:t>
      </w:r>
      <w:r>
        <w:t>L</w:t>
      </w:r>
      <w:r w:rsidRPr="00762E16">
        <w:t>ender liability” protections</w:t>
      </w:r>
      <w:r>
        <w:t xml:space="preserve"> that are similar to the protections for “indicia of ownership” interests as in the Comprehensive Environmental Response, Compensation, and Liability Act (CERCLA)</w:t>
      </w:r>
    </w:p>
    <w:p w:rsidR="00DC2FB6" w:rsidRDefault="00DC2FB6" w:rsidP="00DC2FB6">
      <w:pPr>
        <w:pStyle w:val="BodyText"/>
      </w:pPr>
      <w:r w:rsidRPr="00762E16">
        <w:t xml:space="preserve">The State of </w:t>
      </w:r>
      <w:smartTag w:uri="urn:schemas-microsoft-com:office:smarttags" w:element="place">
        <w:smartTag w:uri="urn:schemas-microsoft-com:office:smarttags" w:element="State">
          <w:r w:rsidRPr="00762E16">
            <w:t>Idaho</w:t>
          </w:r>
        </w:smartTag>
      </w:smartTag>
      <w:r w:rsidRPr="00762E16">
        <w:t xml:space="preserve"> </w:t>
      </w:r>
      <w:r>
        <w:t xml:space="preserve">offers </w:t>
      </w:r>
      <w:r w:rsidRPr="00762E16">
        <w:t>financial incentives for those willing to clean up a LUST site</w:t>
      </w:r>
      <w:r>
        <w:t xml:space="preserve"> </w:t>
      </w:r>
      <w:r>
        <w:rPr>
          <w:rFonts w:cs="Arial"/>
        </w:rPr>
        <w:t xml:space="preserve">through the </w:t>
      </w:r>
      <w:r w:rsidRPr="00762E16">
        <w:rPr>
          <w:rFonts w:cs="Arial"/>
        </w:rPr>
        <w:t>Community Reinvestment Pilot Initiative</w:t>
      </w:r>
      <w:r>
        <w:rPr>
          <w:rFonts w:cs="Arial"/>
        </w:rPr>
        <w:t xml:space="preserve"> if the property owner did not cause the contamination</w:t>
      </w:r>
      <w:r w:rsidRPr="00762E16">
        <w:t xml:space="preserve">.  The VCP </w:t>
      </w:r>
      <w:r>
        <w:t xml:space="preserve">also </w:t>
      </w:r>
      <w:r w:rsidRPr="00762E16">
        <w:t xml:space="preserve">allows for a </w:t>
      </w:r>
      <w:r>
        <w:t>7</w:t>
      </w:r>
      <w:r w:rsidRPr="00762E16">
        <w:t xml:space="preserve">-year partial property tax exemption wherein the owner can exempt </w:t>
      </w:r>
      <w:r>
        <w:t xml:space="preserve">50% </w:t>
      </w:r>
      <w:r w:rsidRPr="00762E16">
        <w:t xml:space="preserve">of the remediated land value for </w:t>
      </w:r>
      <w:r>
        <w:t>7 </w:t>
      </w:r>
      <w:r w:rsidRPr="00762E16">
        <w:t xml:space="preserve">tax years.  </w:t>
      </w:r>
    </w:p>
    <w:p w:rsidR="00DC2FB6" w:rsidRPr="00A575DB" w:rsidRDefault="00DC2FB6" w:rsidP="00DC2FB6">
      <w:pPr>
        <w:pStyle w:val="Heading3"/>
      </w:pPr>
      <w:r w:rsidRPr="00A575DB">
        <w:lastRenderedPageBreak/>
        <w:t xml:space="preserve">4.  </w:t>
      </w:r>
      <w:r>
        <w:t>Community Reinvestment Pilot Initiative (</w:t>
      </w:r>
      <w:r w:rsidRPr="00A575DB">
        <w:t>Pilot</w:t>
      </w:r>
      <w:r>
        <w:t>)</w:t>
      </w:r>
    </w:p>
    <w:p w:rsidR="00DC2FB6" w:rsidRDefault="00DC2FB6" w:rsidP="00DC2FB6">
      <w:pPr>
        <w:pStyle w:val="BodyText"/>
      </w:pPr>
      <w:r>
        <w:t>The</w:t>
      </w:r>
      <w:r w:rsidRPr="00762E16">
        <w:t xml:space="preserve"> Community Reinvestment Pilot Initiative (Pilot</w:t>
      </w:r>
      <w:r>
        <w:t>)</w:t>
      </w:r>
      <w:r w:rsidRPr="00762E16">
        <w:t xml:space="preserve"> makes </w:t>
      </w:r>
      <w:r>
        <w:t xml:space="preserve">available </w:t>
      </w:r>
      <w:r w:rsidRPr="00762E16">
        <w:t xml:space="preserve">up to $1,500,000 in </w:t>
      </w:r>
      <w:r>
        <w:t>State</w:t>
      </w:r>
      <w:r w:rsidRPr="00762E16">
        <w:t xml:space="preserve"> funds to private and non-profit entities completing </w:t>
      </w:r>
      <w:r>
        <w:t>Department</w:t>
      </w:r>
      <w:r w:rsidRPr="00762E16">
        <w:t xml:space="preserve">-approved cleanups at up to 10 properties selected as Pilot </w:t>
      </w:r>
      <w:r>
        <w:t>site</w:t>
      </w:r>
      <w:r w:rsidRPr="00762E16">
        <w:t xml:space="preserve">s.  </w:t>
      </w:r>
      <w:r>
        <w:rPr>
          <w:rFonts w:cs="Arial"/>
        </w:rPr>
        <w:t xml:space="preserve">To be eligible for Pilot funds, the applicant must be selected to be in the VCP and must not have been the responsible party to have caused the contamination. </w:t>
      </w:r>
      <w:r w:rsidRPr="00762E16">
        <w:rPr>
          <w:rFonts w:cs="Arial"/>
        </w:rPr>
        <w:t xml:space="preserve"> </w:t>
      </w:r>
      <w:r w:rsidRPr="00762E16">
        <w:t xml:space="preserve">Pilot </w:t>
      </w:r>
      <w:r>
        <w:t>sites</w:t>
      </w:r>
      <w:r w:rsidRPr="00762E16">
        <w:t xml:space="preserve"> are vacant or underutilized properties whose reuse is complicated by contamination.  Upon cleanup completion, the </w:t>
      </w:r>
      <w:r>
        <w:t>State</w:t>
      </w:r>
      <w:r w:rsidRPr="00762E16">
        <w:t xml:space="preserve"> issues the participant a Community Reinvestment Rebate equal to </w:t>
      </w:r>
      <w:r>
        <w:t xml:space="preserve">70% </w:t>
      </w:r>
      <w:r w:rsidRPr="00762E16">
        <w:t xml:space="preserve">of </w:t>
      </w:r>
      <w:r>
        <w:t xml:space="preserve">the </w:t>
      </w:r>
      <w:r w:rsidRPr="00762E16">
        <w:t xml:space="preserve">cleanup costs incurred, with a maximum rebate of $150,000 per </w:t>
      </w:r>
      <w:r>
        <w:t>P</w:t>
      </w:r>
      <w:r w:rsidRPr="00762E16">
        <w:t xml:space="preserve">ilot </w:t>
      </w:r>
      <w:r>
        <w:t>site</w:t>
      </w:r>
      <w:r w:rsidRPr="00762E16">
        <w:t xml:space="preserve">.  </w:t>
      </w:r>
    </w:p>
    <w:p w:rsidR="00DC2FB6" w:rsidRPr="00762E16" w:rsidRDefault="00DC2FB6" w:rsidP="00DC2FB6">
      <w:pPr>
        <w:pStyle w:val="BodyText"/>
      </w:pPr>
      <w:r w:rsidRPr="00762E16">
        <w:t xml:space="preserve">The participant submits to the Department for review and approval a proposed </w:t>
      </w:r>
      <w:r>
        <w:t>r</w:t>
      </w:r>
      <w:r w:rsidRPr="00762E16">
        <w:t xml:space="preserve">emediation </w:t>
      </w:r>
      <w:r>
        <w:t>w</w:t>
      </w:r>
      <w:r w:rsidRPr="00762E16">
        <w:t xml:space="preserve">ork </w:t>
      </w:r>
      <w:r>
        <w:t>p</w:t>
      </w:r>
      <w:r w:rsidRPr="00762E16">
        <w:t xml:space="preserve">lan. Once the Department approves the work plan, the participant conducts the Department-approved cleanup with </w:t>
      </w:r>
      <w:r>
        <w:t>D</w:t>
      </w:r>
      <w:r w:rsidRPr="00762E16">
        <w:t xml:space="preserve">epartmental oversight.  When identified cleanup goals are reached, the participant submits to the Department a </w:t>
      </w:r>
      <w:r>
        <w:t>w</w:t>
      </w:r>
      <w:r w:rsidRPr="00762E16">
        <w:t xml:space="preserve">ork </w:t>
      </w:r>
      <w:r>
        <w:t>p</w:t>
      </w:r>
      <w:r w:rsidRPr="00762E16">
        <w:t xml:space="preserve">lan </w:t>
      </w:r>
      <w:r>
        <w:t>c</w:t>
      </w:r>
      <w:r w:rsidRPr="00762E16">
        <w:t xml:space="preserve">ompletion </w:t>
      </w:r>
      <w:r>
        <w:t>r</w:t>
      </w:r>
      <w:r w:rsidRPr="00762E16">
        <w:t xml:space="preserve">eport and the Department issues a </w:t>
      </w:r>
      <w:r>
        <w:t>c</w:t>
      </w:r>
      <w:r w:rsidRPr="00762E16">
        <w:t xml:space="preserve">ertificate of </w:t>
      </w:r>
      <w:r>
        <w:t>c</w:t>
      </w:r>
      <w:r w:rsidRPr="00762E16">
        <w:t xml:space="preserve">ompletion.  Within 60 days of receiving the </w:t>
      </w:r>
      <w:r>
        <w:t>c</w:t>
      </w:r>
      <w:r w:rsidRPr="00762E16">
        <w:t xml:space="preserve">ertificate of </w:t>
      </w:r>
      <w:r>
        <w:t>c</w:t>
      </w:r>
      <w:r w:rsidRPr="00762E16">
        <w:t xml:space="preserve">ompletion, participants may request their </w:t>
      </w:r>
      <w:r>
        <w:t>c</w:t>
      </w:r>
      <w:r w:rsidRPr="00762E16">
        <w:t xml:space="preserve">ommunity </w:t>
      </w:r>
      <w:r>
        <w:t>r</w:t>
      </w:r>
      <w:r w:rsidRPr="00762E16">
        <w:t xml:space="preserve">einvestment </w:t>
      </w:r>
      <w:r>
        <w:t>r</w:t>
      </w:r>
      <w:r w:rsidRPr="00762E16">
        <w:t xml:space="preserve">ebate.  The Department will review the rebate request and certify the amount of qualifying remediation costs.  </w:t>
      </w:r>
      <w:r w:rsidRPr="007834F6">
        <w:t xml:space="preserve">Within 30 days of certifying </w:t>
      </w:r>
      <w:r>
        <w:t>these</w:t>
      </w:r>
      <w:r w:rsidRPr="007834F6">
        <w:t xml:space="preserve"> costs, the Department will issue the participant a </w:t>
      </w:r>
      <w:r>
        <w:t>c</w:t>
      </w:r>
      <w:r w:rsidRPr="007834F6">
        <w:t xml:space="preserve">ommunity </w:t>
      </w:r>
      <w:r>
        <w:t>r</w:t>
      </w:r>
      <w:r w:rsidRPr="007834F6">
        <w:t xml:space="preserve">einvestment </w:t>
      </w:r>
      <w:r>
        <w:t>r</w:t>
      </w:r>
      <w:r w:rsidRPr="007834F6">
        <w:t>ebate.</w:t>
      </w:r>
    </w:p>
    <w:p w:rsidR="00DC2FB6" w:rsidRPr="00762E16" w:rsidRDefault="00DC2FB6" w:rsidP="00DC2FB6">
      <w:pPr>
        <w:pStyle w:val="Heading2"/>
      </w:pPr>
      <w:bookmarkStart w:id="6" w:name="_Toc298143653"/>
      <w:r w:rsidRPr="00762E16">
        <w:t>E.  UST Closure</w:t>
      </w:r>
      <w:bookmarkEnd w:id="6"/>
    </w:p>
    <w:p w:rsidR="00DC2FB6" w:rsidRPr="00762E16" w:rsidRDefault="00DC2FB6" w:rsidP="00DC2FB6">
      <w:pPr>
        <w:pStyle w:val="BodyText"/>
      </w:pPr>
      <w:r w:rsidRPr="00762E16">
        <w:t>When closing a</w:t>
      </w:r>
      <w:r>
        <w:t>n</w:t>
      </w:r>
      <w:r w:rsidRPr="00762E16">
        <w:t xml:space="preserve"> UST, owners or operators are required to notify the Department 30 days prior to </w:t>
      </w:r>
      <w:r>
        <w:t>closure</w:t>
      </w:r>
      <w:r w:rsidRPr="00762E16">
        <w:t xml:space="preserve">.  They do this on </w:t>
      </w:r>
      <w:r>
        <w:t>the Department’s</w:t>
      </w:r>
      <w:r w:rsidRPr="00762E16">
        <w:t xml:space="preserve"> </w:t>
      </w:r>
      <w:r>
        <w:t>notification</w:t>
      </w:r>
      <w:r w:rsidRPr="00762E16">
        <w:t xml:space="preserve"> form.  The form </w:t>
      </w:r>
      <w:r>
        <w:t>is</w:t>
      </w:r>
      <w:r w:rsidRPr="00762E16">
        <w:t xml:space="preserve"> turned in to the Department’s </w:t>
      </w:r>
      <w:r>
        <w:t>state</w:t>
      </w:r>
      <w:r w:rsidRPr="00762E16">
        <w:t xml:space="preserve"> office</w:t>
      </w:r>
      <w:r>
        <w:t xml:space="preserve">, which </w:t>
      </w:r>
      <w:r w:rsidRPr="00762E16">
        <w:t>then contacts the local regional inspector and informs him or her that a closure is occurring.  The form stipulates that if the closure date change</w:t>
      </w:r>
      <w:r>
        <w:t>s</w:t>
      </w:r>
      <w:r w:rsidRPr="00762E16">
        <w:t xml:space="preserve">, the Department must be notified.  All UST closures are attended by a Department inspector.  The inspector directs the environmental contractor in finding the best locations to sample and in taking the appropriate number of samples. In addition to Department personnel, closures are also usually attended by the local fire department and </w:t>
      </w:r>
      <w:r>
        <w:t xml:space="preserve">a representative from </w:t>
      </w:r>
      <w:r w:rsidRPr="00762E16">
        <w:t xml:space="preserve">the State’s Petroleum Storage Tank Fund.  </w:t>
      </w:r>
    </w:p>
    <w:p w:rsidR="00DC2FB6" w:rsidRPr="00762E16" w:rsidRDefault="00DC2FB6" w:rsidP="00DC2FB6">
      <w:pPr>
        <w:pStyle w:val="BodyText"/>
      </w:pPr>
      <w:r w:rsidRPr="00762E16">
        <w:t xml:space="preserve">Although closing tanks in place is an acceptable method of closure, the Department discourages such actions unless the removal of the tank will compromise a structure.  </w:t>
      </w:r>
      <w:r>
        <w:t>L</w:t>
      </w:r>
      <w:r w:rsidRPr="00762E16">
        <w:t xml:space="preserve">ending institutions will rarely lend on a property with tanks still </w:t>
      </w:r>
      <w:r>
        <w:t>present</w:t>
      </w:r>
      <w:r w:rsidRPr="00762E16">
        <w:t xml:space="preserve">, even if they are properly closed in place.  The Department conveys this </w:t>
      </w:r>
      <w:r>
        <w:t>information</w:t>
      </w:r>
      <w:r w:rsidRPr="00762E16">
        <w:t xml:space="preserve"> to all owners and operators who want to close a tank in place.  The Department reaches out to realtors on this subject as well.</w:t>
      </w:r>
    </w:p>
    <w:p w:rsidR="00DC2FB6" w:rsidRPr="00762E16" w:rsidRDefault="00DC2FB6" w:rsidP="00DC2FB6">
      <w:pPr>
        <w:pStyle w:val="BodyText"/>
      </w:pPr>
      <w:r w:rsidRPr="00762E16">
        <w:t xml:space="preserve">Once a closure occurs and the site assessment report is reviewed, the Department issues a </w:t>
      </w:r>
      <w:r>
        <w:t>n</w:t>
      </w:r>
      <w:r w:rsidRPr="00762E16">
        <w:t xml:space="preserve">o </w:t>
      </w:r>
      <w:r>
        <w:t>f</w:t>
      </w:r>
      <w:r w:rsidRPr="00762E16">
        <w:t xml:space="preserve">urther </w:t>
      </w:r>
      <w:r>
        <w:t>a</w:t>
      </w:r>
      <w:r w:rsidRPr="00762E16">
        <w:t>ction (NFA) letter.  This letter states the owner or operator does not need to perform remediation</w:t>
      </w:r>
      <w:r>
        <w:t xml:space="preserve"> in connection with the UST closure</w:t>
      </w:r>
      <w:r w:rsidRPr="00762E16">
        <w:t xml:space="preserve">.  </w:t>
      </w:r>
      <w:r>
        <w:t xml:space="preserve">If </w:t>
      </w:r>
      <w:r w:rsidRPr="00762E16">
        <w:t xml:space="preserve">contaminants </w:t>
      </w:r>
      <w:r>
        <w:t>are</w:t>
      </w:r>
      <w:r w:rsidRPr="00762E16">
        <w:t xml:space="preserve"> discovered </w:t>
      </w:r>
      <w:r>
        <w:t xml:space="preserve">in unacceptable amounts, </w:t>
      </w:r>
      <w:r w:rsidRPr="00762E16">
        <w:t xml:space="preserve">the UST </w:t>
      </w:r>
      <w:r>
        <w:t>site</w:t>
      </w:r>
      <w:r w:rsidRPr="00762E16">
        <w:t xml:space="preserve"> becomes a LUST site.   </w:t>
      </w:r>
    </w:p>
    <w:p w:rsidR="00DC2FB6" w:rsidRPr="00762E16" w:rsidRDefault="00DC2FB6" w:rsidP="00DC2FB6">
      <w:pPr>
        <w:pStyle w:val="Heading2"/>
      </w:pPr>
      <w:bookmarkStart w:id="7" w:name="_Toc298143654"/>
      <w:r w:rsidRPr="00762E16">
        <w:lastRenderedPageBreak/>
        <w:t>F.  Financial Responsibility</w:t>
      </w:r>
      <w:bookmarkEnd w:id="7"/>
    </w:p>
    <w:p w:rsidR="00DC2FB6" w:rsidRPr="00762E16" w:rsidRDefault="00DC2FB6" w:rsidP="00DC2FB6">
      <w:pPr>
        <w:pStyle w:val="BodyText"/>
      </w:pPr>
      <w:r w:rsidRPr="00762E16">
        <w:t xml:space="preserve">The State of </w:t>
      </w:r>
      <w:smartTag w:uri="urn:schemas-microsoft-com:office:smarttags" w:element="place">
        <w:smartTag w:uri="urn:schemas-microsoft-com:office:smarttags" w:element="State">
          <w:r w:rsidRPr="00762E16">
            <w:t>Idaho</w:t>
          </w:r>
        </w:smartTag>
      </w:smartTag>
      <w:r w:rsidRPr="00762E16">
        <w:t xml:space="preserve"> has created the Idaho Petroleum Clean Water Trust Fund, administered by the </w:t>
      </w:r>
      <w:r w:rsidRPr="00762E16">
        <w:rPr>
          <w:bCs/>
        </w:rPr>
        <w:t>Petroleum Storage Tank Fund</w:t>
      </w:r>
      <w:r w:rsidRPr="00762E16">
        <w:t xml:space="preserve"> (PSTF</w:t>
      </w:r>
      <w:r>
        <w:t>)</w:t>
      </w:r>
      <w:r w:rsidRPr="00762E16">
        <w:t xml:space="preserve">.  It is a not-for-profit insurance organization that provides coverage for approved petroleum cleanup costs and valid third-party claims resulting from covered accidental releases commencing during the policy period.  PSTF offers coverage for USTs, </w:t>
      </w:r>
      <w:r>
        <w:t>above ground storage tanks (</w:t>
      </w:r>
      <w:r w:rsidRPr="00762E16">
        <w:t>ASTs</w:t>
      </w:r>
      <w:r>
        <w:t>)</w:t>
      </w:r>
      <w:r w:rsidRPr="00762E16">
        <w:t xml:space="preserve">, </w:t>
      </w:r>
      <w:r>
        <w:t xml:space="preserve">and </w:t>
      </w:r>
      <w:r w:rsidRPr="00762E16">
        <w:t>residential, farm, and heating oil tanks.  PSTF offers the following benefits:</w:t>
      </w:r>
    </w:p>
    <w:p w:rsidR="00DC2FB6" w:rsidRPr="00762E16" w:rsidRDefault="00DC2FB6" w:rsidP="00DC2FB6">
      <w:pPr>
        <w:pStyle w:val="Bullet"/>
        <w:numPr>
          <w:ilvl w:val="0"/>
          <w:numId w:val="1"/>
        </w:numPr>
      </w:pPr>
      <w:r>
        <w:t>C</w:t>
      </w:r>
      <w:r w:rsidRPr="00762E16">
        <w:t>overage on an "occurrence" basis, which means that once a tank is insured, accidental releases that occur while the policy is in force may be covered even if the release is not discovered until a later date.</w:t>
      </w:r>
    </w:p>
    <w:p w:rsidR="00DC2FB6" w:rsidRPr="00762E16" w:rsidRDefault="00DC2FB6" w:rsidP="00DC2FB6">
      <w:pPr>
        <w:pStyle w:val="Bullet"/>
        <w:numPr>
          <w:ilvl w:val="0"/>
          <w:numId w:val="1"/>
        </w:numPr>
      </w:pPr>
      <w:r>
        <w:t>T</w:t>
      </w:r>
      <w:r w:rsidRPr="00762E16">
        <w:t>he insurance contract may be transferable to a new owner upon sale of the property without any lapse in coverage if all underwriting requirements are met.</w:t>
      </w:r>
    </w:p>
    <w:p w:rsidR="00DC2FB6" w:rsidRPr="00762E16" w:rsidRDefault="00DC2FB6" w:rsidP="00DC2FB6">
      <w:pPr>
        <w:pStyle w:val="Bullet"/>
        <w:numPr>
          <w:ilvl w:val="0"/>
          <w:numId w:val="1"/>
        </w:numPr>
      </w:pPr>
      <w:r w:rsidRPr="00762E16">
        <w:t xml:space="preserve">A reimbursable deductible allows </w:t>
      </w:r>
      <w:r>
        <w:t xml:space="preserve">the </w:t>
      </w:r>
      <w:r w:rsidRPr="00762E16">
        <w:t xml:space="preserve">PSTF to pay the first dollar of cleanup costs and compensatory damages to third parties for valid bodily injury or property damage claims. This enables </w:t>
      </w:r>
      <w:r>
        <w:t xml:space="preserve">the </w:t>
      </w:r>
      <w:r w:rsidRPr="00762E16">
        <w:t>PSTF to react quickly to monitor the cleanup process and to pay cleanup costs as they are incurred. Tank owners or operators are not required to pay the cost and then wait for reimbursement.</w:t>
      </w:r>
    </w:p>
    <w:p w:rsidR="00DC2FB6" w:rsidRPr="00762E16" w:rsidRDefault="00DC2FB6" w:rsidP="00DC2FB6">
      <w:pPr>
        <w:pStyle w:val="BodyText"/>
      </w:pPr>
      <w:r w:rsidRPr="00762E16">
        <w:t xml:space="preserve">The cost for PSTF insurance is $25 per tank per year.  </w:t>
      </w:r>
      <w:r>
        <w:t>The</w:t>
      </w:r>
      <w:r w:rsidRPr="00762E16">
        <w:t xml:space="preserve"> PSTF provides for the </w:t>
      </w:r>
      <w:r>
        <w:t xml:space="preserve">following coverage for </w:t>
      </w:r>
      <w:r w:rsidRPr="00762E16">
        <w:t>USTs:</w:t>
      </w:r>
    </w:p>
    <w:p w:rsidR="00DC2FB6" w:rsidRPr="00762E16" w:rsidRDefault="00DC2FB6" w:rsidP="00DC2FB6">
      <w:pPr>
        <w:pStyle w:val="Bullet"/>
        <w:numPr>
          <w:ilvl w:val="0"/>
          <w:numId w:val="1"/>
        </w:numPr>
      </w:pPr>
      <w:r w:rsidRPr="00762E16">
        <w:t xml:space="preserve">For petroleum marketers operating </w:t>
      </w:r>
      <w:r>
        <w:t>1</w:t>
      </w:r>
      <w:r w:rsidRPr="00762E16">
        <w:t xml:space="preserve"> to 100 covered underground petroleum storage tanks, no more than $1 million </w:t>
      </w:r>
      <w:r>
        <w:t xml:space="preserve">in costs </w:t>
      </w:r>
      <w:r w:rsidRPr="00762E16">
        <w:t>per</w:t>
      </w:r>
      <w:r>
        <w:t xml:space="preserve"> occurrence and no more than $1 </w:t>
      </w:r>
      <w:r w:rsidRPr="00762E16">
        <w:t>million annual aggregate</w:t>
      </w:r>
    </w:p>
    <w:p w:rsidR="00DC2FB6" w:rsidRPr="00762E16" w:rsidRDefault="00DC2FB6" w:rsidP="00DC2FB6">
      <w:pPr>
        <w:pStyle w:val="Bullet"/>
        <w:numPr>
          <w:ilvl w:val="0"/>
          <w:numId w:val="1"/>
        </w:numPr>
      </w:pPr>
      <w:r w:rsidRPr="00762E16">
        <w:t xml:space="preserve">For petroleum marketers operating 101 or more covered underground petroleum storage tanks, no more than $1 million </w:t>
      </w:r>
      <w:r>
        <w:t xml:space="preserve">in costs </w:t>
      </w:r>
      <w:r w:rsidRPr="00762E16">
        <w:t>per</w:t>
      </w:r>
      <w:r>
        <w:t xml:space="preserve"> occurrence and no more than $2 </w:t>
      </w:r>
      <w:r w:rsidRPr="00762E16">
        <w:t>million annual aggregate</w:t>
      </w:r>
    </w:p>
    <w:p w:rsidR="00DC2FB6" w:rsidRPr="00762E16" w:rsidRDefault="00DC2FB6" w:rsidP="00DC2FB6">
      <w:pPr>
        <w:pStyle w:val="Bullet"/>
        <w:numPr>
          <w:ilvl w:val="0"/>
          <w:numId w:val="1"/>
        </w:numPr>
      </w:pPr>
      <w:r w:rsidRPr="00762E16">
        <w:t xml:space="preserve">For non-marketers of petroleum products who are owners or operators of </w:t>
      </w:r>
      <w:r>
        <w:t>ASTs</w:t>
      </w:r>
      <w:r w:rsidRPr="00762E16">
        <w:t xml:space="preserve"> and </w:t>
      </w:r>
      <w:r>
        <w:t>USTs</w:t>
      </w:r>
      <w:r w:rsidRPr="00762E16">
        <w:t xml:space="preserve"> and who consume 10,000 gallons or less of petroleum products each month, no more than $500,000 per occurrence and no more than $1 million annual aggregate</w:t>
      </w:r>
    </w:p>
    <w:p w:rsidR="00DC2FB6" w:rsidRPr="00762E16" w:rsidRDefault="00DC2FB6" w:rsidP="00DC2FB6">
      <w:pPr>
        <w:pStyle w:val="Bullet"/>
        <w:numPr>
          <w:ilvl w:val="0"/>
          <w:numId w:val="1"/>
        </w:numPr>
      </w:pPr>
      <w:r w:rsidRPr="00762E16">
        <w:t>$10,000 deductible per annum</w:t>
      </w:r>
    </w:p>
    <w:p w:rsidR="00DC2FB6" w:rsidRPr="00762E16" w:rsidRDefault="00DC2FB6" w:rsidP="00DC2FB6">
      <w:pPr>
        <w:pStyle w:val="Bullet"/>
        <w:numPr>
          <w:ilvl w:val="0"/>
          <w:numId w:val="1"/>
        </w:numPr>
      </w:pPr>
      <w:r w:rsidRPr="00762E16">
        <w:t>Annual inspection</w:t>
      </w:r>
    </w:p>
    <w:p w:rsidR="00DC2FB6" w:rsidRPr="00762E16" w:rsidRDefault="00DC2FB6" w:rsidP="00DC2FB6">
      <w:pPr>
        <w:pStyle w:val="BodyText"/>
      </w:pPr>
      <w:r>
        <w:t>EPA evaluated the PSTF coverage and found it to be equivalent to the 40 CFR Part 280.93 (amount and scope of required financial responsibility) requirements under 40 CFR Part 280.100 (use of state-required mechanism).</w:t>
      </w:r>
    </w:p>
    <w:p w:rsidR="00DC2FB6" w:rsidRPr="00762E16" w:rsidRDefault="00DC2FB6" w:rsidP="00DC2FB6">
      <w:pPr>
        <w:pStyle w:val="BodyText"/>
      </w:pPr>
      <w:r w:rsidRPr="00762E16">
        <w:t>The State of Idaho has an “Idaho Prime Loan Program” for small business</w:t>
      </w:r>
      <w:r>
        <w:t xml:space="preserve"> own</w:t>
      </w:r>
      <w:r w:rsidRPr="00762E16">
        <w:t>e</w:t>
      </w:r>
      <w:r>
        <w:t>r</w:t>
      </w:r>
      <w:r w:rsidRPr="00762E16">
        <w:t>s who want to improve or expand their business</w:t>
      </w:r>
      <w:r>
        <w:t>es (Appendix Y)</w:t>
      </w:r>
      <w:r w:rsidRPr="00762E16">
        <w:t xml:space="preserve">.  Department inspectors hand out the Idaho Prime Loan Program brochures to UST owners and operators who may need some financial help in purchasing new UST equipment.  UST owners can borrow up to $750,000 and have the interest rate set at prime. </w:t>
      </w:r>
    </w:p>
    <w:p w:rsidR="00DC2FB6" w:rsidRPr="00762E16" w:rsidRDefault="00DC2FB6" w:rsidP="00DC2FB6">
      <w:pPr>
        <w:pStyle w:val="Heading2"/>
      </w:pPr>
      <w:bookmarkStart w:id="8" w:name="_Toc298143655"/>
      <w:r w:rsidRPr="00762E16">
        <w:lastRenderedPageBreak/>
        <w:t>G.  Resource Information</w:t>
      </w:r>
      <w:bookmarkEnd w:id="8"/>
    </w:p>
    <w:p w:rsidR="00DC2FB6" w:rsidRPr="00762E16" w:rsidRDefault="00DC2FB6" w:rsidP="00DC2FB6">
      <w:pPr>
        <w:pStyle w:val="BodyText"/>
      </w:pPr>
      <w:r>
        <w:t>Currently, t</w:t>
      </w:r>
      <w:r w:rsidRPr="00762E16">
        <w:t>he Department’s UST</w:t>
      </w:r>
      <w:r>
        <w:t>/LUST program has approximately 11 full-time employees; 3</w:t>
      </w:r>
      <w:r w:rsidRPr="00762E16">
        <w:t xml:space="preserve"> in the </w:t>
      </w:r>
      <w:r>
        <w:t>state</w:t>
      </w:r>
      <w:r w:rsidRPr="00762E16">
        <w:t xml:space="preserve"> office and </w:t>
      </w:r>
      <w:r>
        <w:t>8</w:t>
      </w:r>
      <w:r w:rsidRPr="00762E16">
        <w:t xml:space="preserve"> in the six regional offices.  The UST</w:t>
      </w:r>
      <w:r>
        <w:t>/LUST</w:t>
      </w:r>
      <w:r w:rsidRPr="00762E16">
        <w:t xml:space="preserve"> program has the following sources of funding:</w:t>
      </w:r>
    </w:p>
    <w:p w:rsidR="00DC2FB6" w:rsidRPr="00762E16" w:rsidRDefault="00DC2FB6" w:rsidP="00DC2FB6">
      <w:pPr>
        <w:pStyle w:val="Numberedlistitemforexpansion"/>
      </w:pPr>
      <w:r w:rsidRPr="00762E16">
        <w:t>1.</w:t>
      </w:r>
      <w:r>
        <w:tab/>
      </w:r>
      <w:r w:rsidRPr="00ED77EF">
        <w:t xml:space="preserve">The </w:t>
      </w:r>
      <w:smartTag w:uri="urn:schemas-microsoft-com:office:smarttags" w:element="place">
        <w:smartTag w:uri="urn:schemas-microsoft-com:office:smarttags" w:element="PlaceName">
          <w:r w:rsidRPr="00ED77EF">
            <w:t>Federal</w:t>
          </w:r>
        </w:smartTag>
        <w:r w:rsidRPr="00ED77EF">
          <w:t xml:space="preserve"> </w:t>
        </w:r>
        <w:smartTag w:uri="urn:schemas-microsoft-com:office:smarttags" w:element="PlaceType">
          <w:r w:rsidRPr="00ED77EF">
            <w:t>State</w:t>
          </w:r>
        </w:smartTag>
      </w:smartTag>
      <w:r w:rsidRPr="00ED77EF">
        <w:t xml:space="preserve"> and Tribal Assistance Grant (STAG)</w:t>
      </w:r>
    </w:p>
    <w:p w:rsidR="00DC2FB6" w:rsidRPr="00762E16" w:rsidRDefault="00DC2FB6" w:rsidP="00DC2FB6">
      <w:pPr>
        <w:pStyle w:val="Bodytextindent02"/>
      </w:pPr>
      <w:r w:rsidRPr="00762E16">
        <w:t xml:space="preserve">The Federal STAG provides funding for database maintenance, program management, UST inspections, state program approval, outreach, and general program oversight.  As of </w:t>
      </w:r>
      <w:r>
        <w:t>fiscal year 2011</w:t>
      </w:r>
      <w:r w:rsidRPr="00762E16">
        <w:t xml:space="preserve">, this annual grant </w:t>
      </w:r>
      <w:r>
        <w:t>includes</w:t>
      </w:r>
      <w:r w:rsidRPr="00762E16">
        <w:t xml:space="preserve"> $8</w:t>
      </w:r>
      <w:r>
        <w:t>8</w:t>
      </w:r>
      <w:r w:rsidRPr="00762E16">
        <w:t>,</w:t>
      </w:r>
      <w:r>
        <w:t>207</w:t>
      </w:r>
      <w:r w:rsidRPr="00762E16">
        <w:t xml:space="preserve"> in Federal funds </w:t>
      </w:r>
      <w:r>
        <w:t xml:space="preserve">(75%) </w:t>
      </w:r>
      <w:r w:rsidRPr="00762E16">
        <w:t>and $29,</w:t>
      </w:r>
      <w:r>
        <w:t>402</w:t>
      </w:r>
      <w:r w:rsidRPr="00762E16">
        <w:t xml:space="preserve"> in State funds (25%) for a total of </w:t>
      </w:r>
      <w:r w:rsidRPr="00593CDE">
        <w:rPr>
          <w:u w:val="single"/>
        </w:rPr>
        <w:t>$117,609</w:t>
      </w:r>
      <w:r w:rsidRPr="00762E16">
        <w:t xml:space="preserve">.  Administrative costs </w:t>
      </w:r>
      <w:r>
        <w:t>account for</w:t>
      </w:r>
      <w:r w:rsidRPr="00762E16">
        <w:t xml:space="preserve"> $3</w:t>
      </w:r>
      <w:r>
        <w:t>1</w:t>
      </w:r>
      <w:r w:rsidRPr="00762E16">
        <w:t>,</w:t>
      </w:r>
      <w:r>
        <w:t>721 (</w:t>
      </w:r>
      <w:r w:rsidRPr="00593CDE">
        <w:t>27%)</w:t>
      </w:r>
      <w:r>
        <w:t xml:space="preserve"> </w:t>
      </w:r>
      <w:r w:rsidRPr="00762E16">
        <w:t xml:space="preserve">of the total grant amount.  </w:t>
      </w:r>
      <w:r>
        <w:t xml:space="preserve">The grant funds </w:t>
      </w:r>
      <w:r w:rsidRPr="00762E16">
        <w:t>1.17 full</w:t>
      </w:r>
      <w:r>
        <w:t>-</w:t>
      </w:r>
      <w:r w:rsidRPr="00762E16">
        <w:t>time employees.</w:t>
      </w:r>
    </w:p>
    <w:p w:rsidR="00DC2FB6" w:rsidRPr="00762E16" w:rsidRDefault="00DC2FB6" w:rsidP="00DC2FB6">
      <w:pPr>
        <w:pStyle w:val="Numberedlistitemforexpansion"/>
      </w:pPr>
      <w:r w:rsidRPr="00762E16">
        <w:t xml:space="preserve">2.  </w:t>
      </w:r>
      <w:r w:rsidRPr="00ED77EF">
        <w:t xml:space="preserve">The </w:t>
      </w:r>
      <w:bookmarkStart w:id="9" w:name="OLE_LINK1"/>
      <w:bookmarkStart w:id="10" w:name="OLE_LINK2"/>
      <w:r w:rsidRPr="00ED77EF">
        <w:t>Federal LUST Prevention Grant</w:t>
      </w:r>
      <w:bookmarkEnd w:id="9"/>
      <w:bookmarkEnd w:id="10"/>
    </w:p>
    <w:p w:rsidR="00DC2FB6" w:rsidRPr="00762E16" w:rsidRDefault="00DC2FB6" w:rsidP="00DC2FB6">
      <w:pPr>
        <w:pStyle w:val="Bodytextindent02"/>
      </w:pPr>
      <w:r w:rsidRPr="00762E16">
        <w:t xml:space="preserve">The Federal LUST Prevention </w:t>
      </w:r>
      <w:r>
        <w:t>G</w:t>
      </w:r>
      <w:r w:rsidRPr="00762E16">
        <w:t>rant provides funding for U</w:t>
      </w:r>
      <w:r>
        <w:t xml:space="preserve">nderground </w:t>
      </w:r>
      <w:r w:rsidRPr="00762E16">
        <w:t>S</w:t>
      </w:r>
      <w:r>
        <w:t xml:space="preserve">torage </w:t>
      </w:r>
      <w:r w:rsidRPr="00762E16">
        <w:t>T</w:t>
      </w:r>
      <w:r>
        <w:t xml:space="preserve">ank </w:t>
      </w:r>
      <w:r w:rsidRPr="00762E16">
        <w:t>C</w:t>
      </w:r>
      <w:r>
        <w:t xml:space="preserve">ompliance </w:t>
      </w:r>
      <w:r w:rsidRPr="00762E16">
        <w:t>A</w:t>
      </w:r>
      <w:r>
        <w:t>ct</w:t>
      </w:r>
      <w:r w:rsidRPr="00762E16">
        <w:t xml:space="preserve"> implementation, database maintenance, program management, and UST inspections.  As of </w:t>
      </w:r>
      <w:r>
        <w:t>fiscal year 2011</w:t>
      </w:r>
      <w:r w:rsidRPr="00762E16">
        <w:t xml:space="preserve">, this annual grant </w:t>
      </w:r>
      <w:r>
        <w:t>includes</w:t>
      </w:r>
      <w:r w:rsidRPr="00762E16">
        <w:t xml:space="preserve"> $3</w:t>
      </w:r>
      <w:r>
        <w:t>06</w:t>
      </w:r>
      <w:r w:rsidRPr="00762E16">
        <w:t>,</w:t>
      </w:r>
      <w:r>
        <w:t>372</w:t>
      </w:r>
      <w:r w:rsidRPr="00762E16">
        <w:t xml:space="preserve"> in Federal funds </w:t>
      </w:r>
      <w:r>
        <w:t xml:space="preserve">(75%) </w:t>
      </w:r>
      <w:r w:rsidRPr="00762E16">
        <w:t>and $</w:t>
      </w:r>
      <w:r>
        <w:t>102,124</w:t>
      </w:r>
      <w:r w:rsidRPr="00762E16">
        <w:t xml:space="preserve"> in </w:t>
      </w:r>
      <w:r>
        <w:t>s</w:t>
      </w:r>
      <w:r w:rsidRPr="00762E16">
        <w:t>tate funds (</w:t>
      </w:r>
      <w:r w:rsidRPr="00593CDE">
        <w:t>25%)</w:t>
      </w:r>
      <w:r w:rsidRPr="00762E16">
        <w:t xml:space="preserve"> for a total of </w:t>
      </w:r>
      <w:r w:rsidRPr="00593CDE">
        <w:rPr>
          <w:u w:val="single"/>
        </w:rPr>
        <w:t>$408,496</w:t>
      </w:r>
      <w:r w:rsidRPr="00762E16">
        <w:t xml:space="preserve">.  Administrative costs </w:t>
      </w:r>
      <w:r>
        <w:t>account for</w:t>
      </w:r>
      <w:r w:rsidRPr="00762E16">
        <w:t xml:space="preserve"> $1</w:t>
      </w:r>
      <w:r>
        <w:t>11</w:t>
      </w:r>
      <w:r w:rsidRPr="00762E16">
        <w:t>,</w:t>
      </w:r>
      <w:r>
        <w:t>546</w:t>
      </w:r>
      <w:r w:rsidRPr="00762E16">
        <w:t xml:space="preserve"> </w:t>
      </w:r>
      <w:r>
        <w:t xml:space="preserve">(27%) </w:t>
      </w:r>
      <w:r w:rsidRPr="00762E16">
        <w:t xml:space="preserve">of the total grant amount. </w:t>
      </w:r>
      <w:r>
        <w:t xml:space="preserve"> The grant funds</w:t>
      </w:r>
      <w:r w:rsidRPr="00762E16">
        <w:t xml:space="preserve"> 4.</w:t>
      </w:r>
      <w:r>
        <w:t>54</w:t>
      </w:r>
      <w:r w:rsidRPr="00762E16">
        <w:t xml:space="preserve"> full</w:t>
      </w:r>
      <w:r>
        <w:t>-</w:t>
      </w:r>
      <w:r w:rsidRPr="00762E16">
        <w:t>time employees.</w:t>
      </w:r>
    </w:p>
    <w:p w:rsidR="00DC2FB6" w:rsidRPr="00762E16" w:rsidRDefault="00DC2FB6" w:rsidP="00DC2FB6">
      <w:pPr>
        <w:pStyle w:val="Numberedlistitemforexpansion"/>
      </w:pPr>
      <w:r w:rsidRPr="00762E16">
        <w:t xml:space="preserve">3.  </w:t>
      </w:r>
      <w:r w:rsidRPr="00ED77EF">
        <w:t>The Federal LUST Trust Fund Grant</w:t>
      </w:r>
    </w:p>
    <w:p w:rsidR="00DC2FB6" w:rsidRPr="00762E16" w:rsidRDefault="00DC2FB6" w:rsidP="00DC2FB6">
      <w:pPr>
        <w:pStyle w:val="Bodytextindent02"/>
      </w:pPr>
      <w:r w:rsidRPr="00762E16">
        <w:t xml:space="preserve">The Federal LUST Trust Fund </w:t>
      </w:r>
      <w:r>
        <w:t>G</w:t>
      </w:r>
      <w:r w:rsidRPr="00762E16">
        <w:t>rant provides funding for site investigations, enforcement and corrective action, emergenc</w:t>
      </w:r>
      <w:r>
        <w:t>y</w:t>
      </w:r>
      <w:r w:rsidRPr="00762E16">
        <w:t xml:space="preserve"> and complaint</w:t>
      </w:r>
      <w:r>
        <w:t xml:space="preserve"> response</w:t>
      </w:r>
      <w:r w:rsidRPr="00762E16">
        <w:t xml:space="preserve">, database maintenance, rulemaking, and public outreach.  As of </w:t>
      </w:r>
      <w:r>
        <w:t>fiscal year 2011</w:t>
      </w:r>
      <w:r w:rsidRPr="00762E16">
        <w:t xml:space="preserve">, this annual grant </w:t>
      </w:r>
      <w:r>
        <w:t>includes</w:t>
      </w:r>
      <w:r w:rsidRPr="00762E16">
        <w:t xml:space="preserve"> $5</w:t>
      </w:r>
      <w:r>
        <w:t>65</w:t>
      </w:r>
      <w:r w:rsidRPr="00762E16">
        <w:t>,</w:t>
      </w:r>
      <w:r>
        <w:t>000</w:t>
      </w:r>
      <w:r w:rsidRPr="00762E16">
        <w:t xml:space="preserve"> in Federal funds </w:t>
      </w:r>
      <w:r>
        <w:t xml:space="preserve">(90%) </w:t>
      </w:r>
      <w:r w:rsidRPr="00762E16">
        <w:t>and $</w:t>
      </w:r>
      <w:r>
        <w:t>62</w:t>
      </w:r>
      <w:r w:rsidRPr="00762E16">
        <w:t>,</w:t>
      </w:r>
      <w:r>
        <w:t>778</w:t>
      </w:r>
      <w:r w:rsidRPr="00762E16">
        <w:t xml:space="preserve"> in </w:t>
      </w:r>
      <w:r>
        <w:t>s</w:t>
      </w:r>
      <w:r w:rsidRPr="00762E16">
        <w:t xml:space="preserve">tate funds (10%) </w:t>
      </w:r>
      <w:r>
        <w:t xml:space="preserve">for a total of </w:t>
      </w:r>
      <w:r w:rsidRPr="00593CDE">
        <w:rPr>
          <w:u w:val="single"/>
        </w:rPr>
        <w:t>$627,778</w:t>
      </w:r>
      <w:r w:rsidRPr="00762E16">
        <w:t xml:space="preserve">.  Administrative costs </w:t>
      </w:r>
      <w:r>
        <w:t>account for</w:t>
      </w:r>
      <w:r w:rsidRPr="00762E16">
        <w:t xml:space="preserve"> $1</w:t>
      </w:r>
      <w:r>
        <w:t>45</w:t>
      </w:r>
      <w:r w:rsidRPr="00762E16">
        <w:t>,</w:t>
      </w:r>
      <w:r>
        <w:t>934</w:t>
      </w:r>
      <w:r w:rsidRPr="00762E16">
        <w:t xml:space="preserve"> </w:t>
      </w:r>
      <w:r>
        <w:t xml:space="preserve">(23%) </w:t>
      </w:r>
      <w:r w:rsidRPr="00762E16">
        <w:t xml:space="preserve">of the total grant amount.  </w:t>
      </w:r>
      <w:r>
        <w:t>The grant funds 5</w:t>
      </w:r>
      <w:r w:rsidRPr="00762E16">
        <w:t>.</w:t>
      </w:r>
      <w:r>
        <w:t>25 </w:t>
      </w:r>
      <w:r w:rsidRPr="00762E16">
        <w:t>full</w:t>
      </w:r>
      <w:r>
        <w:t>-</w:t>
      </w:r>
      <w:r w:rsidRPr="00762E16">
        <w:t xml:space="preserve">time employees.  </w:t>
      </w:r>
    </w:p>
    <w:p w:rsidR="00DC2FB6" w:rsidRPr="00762E16" w:rsidRDefault="00DC2FB6" w:rsidP="00DC2FB6">
      <w:pPr>
        <w:pStyle w:val="BodyText"/>
        <w:rPr>
          <w:highlight w:val="yellow"/>
        </w:rPr>
      </w:pPr>
      <w:r w:rsidRPr="00490D4B">
        <w:t xml:space="preserve">The total amount the State of </w:t>
      </w:r>
      <w:smartTag w:uri="urn:schemas-microsoft-com:office:smarttags" w:element="place">
        <w:smartTag w:uri="urn:schemas-microsoft-com:office:smarttags" w:element="State">
          <w:r w:rsidRPr="00490D4B">
            <w:t>Idaho</w:t>
          </w:r>
        </w:smartTag>
      </w:smartTag>
      <w:r w:rsidRPr="00490D4B">
        <w:t xml:space="preserve"> has in UST and LUST </w:t>
      </w:r>
      <w:r>
        <w:t>a</w:t>
      </w:r>
      <w:r w:rsidRPr="00490D4B">
        <w:t xml:space="preserve">ssistance </w:t>
      </w:r>
      <w:r>
        <w:t>g</w:t>
      </w:r>
      <w:r w:rsidRPr="00490D4B">
        <w:t xml:space="preserve">rants is </w:t>
      </w:r>
      <w:r w:rsidRPr="00593CDE">
        <w:rPr>
          <w:u w:val="single"/>
        </w:rPr>
        <w:t>$1,153,883</w:t>
      </w:r>
      <w:r w:rsidRPr="00490D4B">
        <w:t>.  Occasionally, the State may receive additional grants for special projects.  For example, the State currently has a LUST stimulus grant in the amount of $1,284,000, a grant to investigate temporarily out</w:t>
      </w:r>
      <w:r>
        <w:t>-</w:t>
      </w:r>
      <w:r w:rsidRPr="00490D4B">
        <w:t>of</w:t>
      </w:r>
      <w:r>
        <w:t>-</w:t>
      </w:r>
      <w:r w:rsidRPr="00490D4B">
        <w:t>use or abandoned UST systems for $250,000, and a grant to assist in cleaning up LUST sites in the Boise regional office</w:t>
      </w:r>
      <w:r>
        <w:t>’s jurisdiction</w:t>
      </w:r>
      <w:r w:rsidRPr="00490D4B">
        <w:t xml:space="preserve"> for $250,000. </w:t>
      </w:r>
      <w:r w:rsidRPr="00762E16">
        <w:rPr>
          <w:highlight w:val="yellow"/>
        </w:rPr>
        <w:t xml:space="preserve"> </w:t>
      </w:r>
    </w:p>
    <w:p w:rsidR="00DC2FB6" w:rsidRPr="00762E16" w:rsidRDefault="00DC2FB6" w:rsidP="00DC2FB6">
      <w:pPr>
        <w:pStyle w:val="Heading2"/>
      </w:pPr>
      <w:bookmarkStart w:id="11" w:name="_Toc298143656"/>
      <w:r w:rsidRPr="00762E16">
        <w:t>H.  Energy Policy Act of 2005</w:t>
      </w:r>
      <w:bookmarkEnd w:id="11"/>
    </w:p>
    <w:p w:rsidR="00DC2FB6" w:rsidRPr="00762E16" w:rsidRDefault="00DC2FB6" w:rsidP="00DC2FB6">
      <w:pPr>
        <w:pStyle w:val="BodyText"/>
      </w:pPr>
      <w:r w:rsidRPr="00762E16">
        <w:t xml:space="preserve">The </w:t>
      </w:r>
      <w:r w:rsidRPr="00C51F6F">
        <w:t>Idaho Underground Storage Tank Act</w:t>
      </w:r>
      <w:r w:rsidRPr="00762E16">
        <w:t xml:space="preserve"> (Idaho Code Title 39, Chapter 88) was enacted on February 23, 2007</w:t>
      </w:r>
      <w:r>
        <w:t xml:space="preserve"> (Appendix B)</w:t>
      </w:r>
      <w:r w:rsidRPr="00762E16">
        <w:t xml:space="preserve">.  This </w:t>
      </w:r>
      <w:r>
        <w:t>a</w:t>
      </w:r>
      <w:r w:rsidRPr="00762E16">
        <w:t xml:space="preserve">ct allowed the Department to make rules regarding the Energy Policy Act of 2005.  It also allowed the Department to start enforcing on many measures in the Energy Policy Act of 2005.  On April 2, 2008, the </w:t>
      </w:r>
      <w:r>
        <w:t>“</w:t>
      </w:r>
      <w:r w:rsidRPr="00865230">
        <w:t>Rules Regulating Underground Storage Tank Systems</w:t>
      </w:r>
      <w:r>
        <w:t>”</w:t>
      </w:r>
      <w:r w:rsidRPr="00865230">
        <w:t xml:space="preserve"> </w:t>
      </w:r>
      <w:r w:rsidRPr="00762E16">
        <w:t xml:space="preserve">(IDAPA 58.01.07) </w:t>
      </w:r>
      <w:r>
        <w:t>were</w:t>
      </w:r>
      <w:r w:rsidRPr="00762E16">
        <w:t xml:space="preserve"> enacted</w:t>
      </w:r>
      <w:r>
        <w:t xml:space="preserve"> (Appendix A)</w:t>
      </w:r>
      <w:r w:rsidRPr="00762E16">
        <w:t xml:space="preserve">.  The </w:t>
      </w:r>
      <w:r>
        <w:t>r</w:t>
      </w:r>
      <w:r w:rsidRPr="00762E16">
        <w:t>ules contain the following sections</w:t>
      </w:r>
      <w:r>
        <w:t>, as discussed in more detail below</w:t>
      </w:r>
      <w:r w:rsidRPr="00762E16">
        <w:t>:</w:t>
      </w:r>
    </w:p>
    <w:p w:rsidR="00DC2FB6" w:rsidRPr="00762E16" w:rsidRDefault="00DC2FB6" w:rsidP="00DC2FB6">
      <w:pPr>
        <w:pStyle w:val="Bullet"/>
        <w:numPr>
          <w:ilvl w:val="0"/>
          <w:numId w:val="1"/>
        </w:numPr>
      </w:pPr>
      <w:r w:rsidRPr="00762E16">
        <w:lastRenderedPageBreak/>
        <w:t xml:space="preserve">Incorporation of the </w:t>
      </w:r>
      <w:r>
        <w:t>Federal</w:t>
      </w:r>
      <w:r w:rsidRPr="00762E16">
        <w:t xml:space="preserve"> Technical Standards and Corrective Action Requirements for Owners and Operators o</w:t>
      </w:r>
      <w:r>
        <w:t>f Underground Storage Tanks, 40 </w:t>
      </w:r>
      <w:r w:rsidRPr="00762E16">
        <w:t>CFR Part 280</w:t>
      </w:r>
    </w:p>
    <w:p w:rsidR="00DC2FB6" w:rsidRPr="00762E16" w:rsidRDefault="00DC2FB6" w:rsidP="00DC2FB6">
      <w:pPr>
        <w:pStyle w:val="Bullet"/>
        <w:numPr>
          <w:ilvl w:val="0"/>
          <w:numId w:val="1"/>
        </w:numPr>
      </w:pPr>
      <w:r w:rsidRPr="00762E16">
        <w:t>Additional Measures to Protect Ground Water from Contamination</w:t>
      </w:r>
    </w:p>
    <w:p w:rsidR="00DC2FB6" w:rsidRPr="00762E16" w:rsidRDefault="00DC2FB6" w:rsidP="00DC2FB6">
      <w:pPr>
        <w:pStyle w:val="Bullet"/>
        <w:numPr>
          <w:ilvl w:val="0"/>
          <w:numId w:val="1"/>
        </w:numPr>
      </w:pPr>
      <w:r w:rsidRPr="00762E16">
        <w:t>Release Reporting Requirements</w:t>
      </w:r>
    </w:p>
    <w:p w:rsidR="00DC2FB6" w:rsidRPr="00762E16" w:rsidRDefault="00DC2FB6" w:rsidP="00DC2FB6">
      <w:pPr>
        <w:pStyle w:val="Bullet"/>
        <w:numPr>
          <w:ilvl w:val="0"/>
          <w:numId w:val="1"/>
        </w:numPr>
      </w:pPr>
      <w:r w:rsidRPr="00762E16">
        <w:t>Training Requirements</w:t>
      </w:r>
    </w:p>
    <w:p w:rsidR="00DC2FB6" w:rsidRPr="00762E16" w:rsidRDefault="00DC2FB6" w:rsidP="00DC2FB6">
      <w:pPr>
        <w:pStyle w:val="Bullet"/>
        <w:numPr>
          <w:ilvl w:val="0"/>
          <w:numId w:val="1"/>
        </w:numPr>
      </w:pPr>
      <w:r w:rsidRPr="00762E16">
        <w:t>Inspections</w:t>
      </w:r>
    </w:p>
    <w:p w:rsidR="00DC2FB6" w:rsidRPr="00762E16" w:rsidRDefault="00DC2FB6" w:rsidP="00DC2FB6">
      <w:pPr>
        <w:pStyle w:val="Bullet"/>
        <w:numPr>
          <w:ilvl w:val="0"/>
          <w:numId w:val="1"/>
        </w:numPr>
      </w:pPr>
      <w:r w:rsidRPr="00762E16">
        <w:t>Delivery Prohibition</w:t>
      </w:r>
    </w:p>
    <w:p w:rsidR="00DC2FB6" w:rsidRPr="00762E16" w:rsidRDefault="00DC2FB6" w:rsidP="00DC2FB6">
      <w:pPr>
        <w:pStyle w:val="Bullet"/>
        <w:numPr>
          <w:ilvl w:val="0"/>
          <w:numId w:val="1"/>
        </w:numPr>
      </w:pPr>
      <w:r w:rsidRPr="00762E16">
        <w:t xml:space="preserve">Maintenance of the Petroleum Underground Storage Tank Database </w:t>
      </w:r>
    </w:p>
    <w:p w:rsidR="00DC2FB6" w:rsidRPr="000805A9" w:rsidRDefault="00DC2FB6" w:rsidP="00DC2FB6">
      <w:pPr>
        <w:pStyle w:val="BodyText"/>
        <w:keepNext/>
        <w:keepLines/>
        <w:widowControl w:val="0"/>
        <w:rPr>
          <w:b/>
          <w:u w:val="single"/>
        </w:rPr>
      </w:pPr>
      <w:r w:rsidRPr="000805A9">
        <w:rPr>
          <w:b/>
          <w:u w:val="single"/>
        </w:rPr>
        <w:t xml:space="preserve">Technical Standards and Corrective Action Requirements for Owners and Operators of Underground Storage </w:t>
      </w:r>
      <w:r>
        <w:rPr>
          <w:b/>
          <w:u w:val="single"/>
        </w:rPr>
        <w:t>Tanks, 40 CFR Part 280 (Section </w:t>
      </w:r>
      <w:r w:rsidRPr="000805A9">
        <w:rPr>
          <w:b/>
          <w:u w:val="single"/>
        </w:rPr>
        <w:t>004)</w:t>
      </w:r>
    </w:p>
    <w:p w:rsidR="00DC2FB6" w:rsidRPr="00762E16" w:rsidRDefault="00DC2FB6" w:rsidP="00DC2FB6">
      <w:pPr>
        <w:pStyle w:val="BodyText"/>
      </w:pPr>
      <w:r w:rsidRPr="00762E16">
        <w:t>This section incorporates</w:t>
      </w:r>
      <w:r>
        <w:t>, by reference,</w:t>
      </w:r>
      <w:r w:rsidRPr="00762E16">
        <w:t xml:space="preserve"> the </w:t>
      </w:r>
      <w:r>
        <w:t>Federal</w:t>
      </w:r>
      <w:r w:rsidRPr="00762E16">
        <w:t xml:space="preserve"> UST laws that have been in effect since December 22, 1988.</w:t>
      </w:r>
    </w:p>
    <w:p w:rsidR="00DC2FB6" w:rsidRPr="000805A9" w:rsidRDefault="00DC2FB6" w:rsidP="00DC2FB6">
      <w:pPr>
        <w:pStyle w:val="BodyText"/>
        <w:keepNext/>
        <w:keepLines/>
        <w:widowControl w:val="0"/>
        <w:rPr>
          <w:b/>
          <w:u w:val="single"/>
        </w:rPr>
      </w:pPr>
      <w:r w:rsidRPr="000805A9">
        <w:rPr>
          <w:b/>
          <w:u w:val="single"/>
        </w:rPr>
        <w:t>Additional Measures to Protect Ground Wa</w:t>
      </w:r>
      <w:r>
        <w:rPr>
          <w:b/>
          <w:u w:val="single"/>
        </w:rPr>
        <w:t>ter from Contamination (Section </w:t>
      </w:r>
      <w:r w:rsidRPr="000805A9">
        <w:rPr>
          <w:b/>
          <w:u w:val="single"/>
        </w:rPr>
        <w:t>100)</w:t>
      </w:r>
    </w:p>
    <w:p w:rsidR="00DC2FB6" w:rsidRPr="00762E16" w:rsidRDefault="00DC2FB6" w:rsidP="00DC2FB6">
      <w:pPr>
        <w:pStyle w:val="BodyText"/>
      </w:pPr>
      <w:r w:rsidRPr="00762E16">
        <w:t xml:space="preserve">This section explains new notification requirements for all tank systems and requirements for UST systems installed or replaced after February 23, 2007.  Some of those requirements </w:t>
      </w:r>
      <w:r>
        <w:t>include</w:t>
      </w:r>
      <w:r w:rsidRPr="00762E16">
        <w:t xml:space="preserve"> the following:</w:t>
      </w:r>
    </w:p>
    <w:p w:rsidR="00DC2FB6" w:rsidRPr="00762E16" w:rsidRDefault="00DC2FB6" w:rsidP="00DC2FB6">
      <w:pPr>
        <w:pStyle w:val="Bullet"/>
        <w:numPr>
          <w:ilvl w:val="0"/>
          <w:numId w:val="1"/>
        </w:numPr>
      </w:pPr>
      <w:r>
        <w:t>The Department</w:t>
      </w:r>
      <w:r w:rsidRPr="00762E16">
        <w:t xml:space="preserve"> must be notified 30 days prior to installing a new piping system or a new or replacement tank</w:t>
      </w:r>
      <w:r>
        <w:t>.</w:t>
      </w:r>
      <w:r w:rsidRPr="00762E16">
        <w:t xml:space="preserve"> </w:t>
      </w:r>
    </w:p>
    <w:p w:rsidR="00DC2FB6" w:rsidRPr="00762E16" w:rsidRDefault="00DC2FB6" w:rsidP="00DC2FB6">
      <w:pPr>
        <w:pStyle w:val="Bullet"/>
        <w:numPr>
          <w:ilvl w:val="0"/>
          <w:numId w:val="1"/>
        </w:numPr>
      </w:pPr>
      <w:r>
        <w:t xml:space="preserve">The </w:t>
      </w:r>
      <w:r w:rsidRPr="00762E16">
        <w:t>D</w:t>
      </w:r>
      <w:r>
        <w:t>epartment</w:t>
      </w:r>
      <w:r w:rsidRPr="00762E16">
        <w:t xml:space="preserve"> must be notified 24 hours prior to replacing a piping system</w:t>
      </w:r>
      <w:r>
        <w:t>.</w:t>
      </w:r>
    </w:p>
    <w:p w:rsidR="00DC2FB6" w:rsidRPr="00762E16" w:rsidRDefault="00DC2FB6" w:rsidP="00DC2FB6">
      <w:pPr>
        <w:pStyle w:val="Bullet"/>
        <w:numPr>
          <w:ilvl w:val="0"/>
          <w:numId w:val="1"/>
        </w:numPr>
      </w:pPr>
      <w:r w:rsidRPr="00762E16">
        <w:t>Each new tank and/or piping system installed or replac</w:t>
      </w:r>
      <w:r>
        <w:t>ed after February </w:t>
      </w:r>
      <w:r w:rsidRPr="00762E16">
        <w:t>23, 2007</w:t>
      </w:r>
      <w:r>
        <w:t>,</w:t>
      </w:r>
      <w:r w:rsidRPr="00762E16">
        <w:t xml:space="preserve"> that is within 1</w:t>
      </w:r>
      <w:r>
        <w:t>,</w:t>
      </w:r>
      <w:r w:rsidRPr="00762E16">
        <w:t>000 feet of a potable drinking water source must have secondary containment (an inner and outer barrier) installed</w:t>
      </w:r>
      <w:r>
        <w:t>,</w:t>
      </w:r>
      <w:r w:rsidRPr="00762E16">
        <w:t xml:space="preserve"> and the space between the inner and outer barrier must be monitored</w:t>
      </w:r>
      <w:r>
        <w:t>.</w:t>
      </w:r>
    </w:p>
    <w:p w:rsidR="00DC2FB6" w:rsidRPr="00762E16" w:rsidRDefault="00DC2FB6" w:rsidP="00DC2FB6">
      <w:pPr>
        <w:pStyle w:val="Bullet"/>
        <w:numPr>
          <w:ilvl w:val="0"/>
          <w:numId w:val="1"/>
        </w:numPr>
      </w:pPr>
      <w:r w:rsidRPr="00762E16">
        <w:t>Each new motor fuel dispenser system that is within 1</w:t>
      </w:r>
      <w:r>
        <w:t>,</w:t>
      </w:r>
      <w:r w:rsidRPr="00762E16">
        <w:t>000 feet of a potable drinking water source and is installed after February 23, 2007</w:t>
      </w:r>
      <w:r>
        <w:t>,</w:t>
      </w:r>
      <w:r w:rsidRPr="00762E16">
        <w:t xml:space="preserve"> must have under-dispenser containment</w:t>
      </w:r>
      <w:r>
        <w:t>.</w:t>
      </w:r>
    </w:p>
    <w:p w:rsidR="00DC2FB6" w:rsidRPr="000805A9" w:rsidRDefault="00DC2FB6" w:rsidP="00DC2FB6">
      <w:pPr>
        <w:pStyle w:val="BodyText"/>
        <w:keepNext/>
        <w:keepLines/>
        <w:widowControl w:val="0"/>
        <w:rPr>
          <w:b/>
          <w:u w:val="single"/>
        </w:rPr>
      </w:pPr>
      <w:r w:rsidRPr="000805A9">
        <w:rPr>
          <w:b/>
          <w:u w:val="single"/>
        </w:rPr>
        <w:t>Release Reporting Requirements (Section 200)</w:t>
      </w:r>
    </w:p>
    <w:p w:rsidR="00DC2FB6" w:rsidRDefault="00DC2FB6" w:rsidP="00DC2FB6">
      <w:pPr>
        <w:pStyle w:val="BodyText"/>
      </w:pPr>
      <w:r w:rsidRPr="00762E16">
        <w:t>When a release occurs, the owner or operator must report the source and cause of the release.  Sources may include</w:t>
      </w:r>
      <w:r>
        <w:t>,</w:t>
      </w:r>
      <w:r w:rsidRPr="00762E16">
        <w:t xml:space="preserve"> but are not limited to</w:t>
      </w:r>
      <w:r>
        <w:t>, the following</w:t>
      </w:r>
      <w:r w:rsidRPr="00762E16">
        <w:t>:</w:t>
      </w:r>
    </w:p>
    <w:p w:rsidR="00DC2FB6" w:rsidRPr="00762E16" w:rsidRDefault="00DC2FB6" w:rsidP="00DC2FB6">
      <w:pPr>
        <w:pStyle w:val="Bullet"/>
        <w:numPr>
          <w:ilvl w:val="0"/>
          <w:numId w:val="1"/>
        </w:numPr>
      </w:pPr>
      <w:r w:rsidRPr="00762E16">
        <w:t>An underground storage tank</w:t>
      </w:r>
    </w:p>
    <w:p w:rsidR="00DC2FB6" w:rsidRPr="00762E16" w:rsidRDefault="00DC2FB6" w:rsidP="00DC2FB6">
      <w:pPr>
        <w:pStyle w:val="Bullet"/>
        <w:numPr>
          <w:ilvl w:val="0"/>
          <w:numId w:val="1"/>
        </w:numPr>
      </w:pPr>
      <w:r w:rsidRPr="00762E16">
        <w:t>Piping</w:t>
      </w:r>
    </w:p>
    <w:p w:rsidR="00DC2FB6" w:rsidRPr="00762E16" w:rsidRDefault="00DC2FB6" w:rsidP="00DC2FB6">
      <w:pPr>
        <w:pStyle w:val="Bullet"/>
        <w:numPr>
          <w:ilvl w:val="0"/>
          <w:numId w:val="1"/>
        </w:numPr>
      </w:pPr>
      <w:r w:rsidRPr="00762E16">
        <w:t>Dispensers</w:t>
      </w:r>
    </w:p>
    <w:p w:rsidR="00DC2FB6" w:rsidRPr="00762E16" w:rsidRDefault="00DC2FB6" w:rsidP="00DC2FB6">
      <w:pPr>
        <w:pStyle w:val="Bullet"/>
        <w:numPr>
          <w:ilvl w:val="0"/>
          <w:numId w:val="1"/>
        </w:numPr>
      </w:pPr>
      <w:r w:rsidRPr="00762E16">
        <w:t>Submersible turbine pump area</w:t>
      </w:r>
    </w:p>
    <w:p w:rsidR="00DC2FB6" w:rsidRPr="00762E16" w:rsidRDefault="00DC2FB6" w:rsidP="00DC2FB6">
      <w:pPr>
        <w:pStyle w:val="Bullet"/>
        <w:numPr>
          <w:ilvl w:val="0"/>
          <w:numId w:val="1"/>
        </w:numPr>
      </w:pPr>
      <w:r w:rsidRPr="00762E16">
        <w:t>Delivery problem</w:t>
      </w:r>
    </w:p>
    <w:p w:rsidR="00DC2FB6" w:rsidRPr="00762E16" w:rsidRDefault="00DC2FB6" w:rsidP="00DC2FB6">
      <w:pPr>
        <w:pStyle w:val="BodyText"/>
        <w:keepNext/>
        <w:keepLines/>
      </w:pPr>
      <w:r w:rsidRPr="00762E16">
        <w:t>Causes may include</w:t>
      </w:r>
      <w:r>
        <w:t>,</w:t>
      </w:r>
      <w:r w:rsidRPr="00762E16">
        <w:t xml:space="preserve"> but are not limited to</w:t>
      </w:r>
      <w:r>
        <w:t>, the following</w:t>
      </w:r>
      <w:r w:rsidRPr="00762E16">
        <w:t>:</w:t>
      </w:r>
    </w:p>
    <w:p w:rsidR="00DC2FB6" w:rsidRPr="00762E16" w:rsidRDefault="00DC2FB6" w:rsidP="00DC2FB6">
      <w:pPr>
        <w:pStyle w:val="Bullet"/>
        <w:numPr>
          <w:ilvl w:val="0"/>
          <w:numId w:val="1"/>
        </w:numPr>
      </w:pPr>
      <w:r w:rsidRPr="00762E16">
        <w:t>Spills</w:t>
      </w:r>
    </w:p>
    <w:p w:rsidR="00DC2FB6" w:rsidRPr="00762E16" w:rsidRDefault="00DC2FB6" w:rsidP="00DC2FB6">
      <w:pPr>
        <w:pStyle w:val="Bullet"/>
        <w:numPr>
          <w:ilvl w:val="0"/>
          <w:numId w:val="1"/>
        </w:numPr>
      </w:pPr>
      <w:r w:rsidRPr="00762E16">
        <w:t>Overfills</w:t>
      </w:r>
    </w:p>
    <w:p w:rsidR="00DC2FB6" w:rsidRPr="00762E16" w:rsidRDefault="00DC2FB6" w:rsidP="00DC2FB6">
      <w:pPr>
        <w:pStyle w:val="Bullet"/>
        <w:numPr>
          <w:ilvl w:val="0"/>
          <w:numId w:val="1"/>
        </w:numPr>
      </w:pPr>
      <w:r w:rsidRPr="00762E16">
        <w:lastRenderedPageBreak/>
        <w:t>Physical or mechanical damage</w:t>
      </w:r>
    </w:p>
    <w:p w:rsidR="00DC2FB6" w:rsidRPr="00762E16" w:rsidRDefault="00DC2FB6" w:rsidP="00DC2FB6">
      <w:pPr>
        <w:pStyle w:val="Bullet"/>
        <w:numPr>
          <w:ilvl w:val="0"/>
          <w:numId w:val="1"/>
        </w:numPr>
      </w:pPr>
      <w:r w:rsidRPr="00762E16">
        <w:t>Corrosion</w:t>
      </w:r>
    </w:p>
    <w:p w:rsidR="00DC2FB6" w:rsidRPr="00762E16" w:rsidRDefault="00DC2FB6" w:rsidP="00DC2FB6">
      <w:pPr>
        <w:pStyle w:val="Bullet"/>
        <w:numPr>
          <w:ilvl w:val="0"/>
          <w:numId w:val="1"/>
        </w:numPr>
      </w:pPr>
      <w:r w:rsidRPr="00762E16">
        <w:t>Installation problem</w:t>
      </w:r>
      <w:r>
        <w:t>s</w:t>
      </w:r>
    </w:p>
    <w:p w:rsidR="00DC2FB6" w:rsidRPr="000805A9" w:rsidRDefault="00DC2FB6" w:rsidP="00DC2FB6">
      <w:pPr>
        <w:pStyle w:val="BodyText"/>
        <w:keepNext/>
        <w:keepLines/>
        <w:widowControl w:val="0"/>
        <w:rPr>
          <w:b/>
          <w:u w:val="single"/>
        </w:rPr>
      </w:pPr>
      <w:r w:rsidRPr="000805A9">
        <w:rPr>
          <w:b/>
          <w:u w:val="single"/>
        </w:rPr>
        <w:t>Operator Training Requirements (Section 300)</w:t>
      </w:r>
    </w:p>
    <w:p w:rsidR="00DC2FB6" w:rsidRDefault="00DC2FB6" w:rsidP="00DC2FB6">
      <w:pPr>
        <w:pStyle w:val="BodyText"/>
      </w:pPr>
      <w:r w:rsidRPr="00762E16">
        <w:t xml:space="preserve">This section describes both </w:t>
      </w:r>
      <w:r>
        <w:t>the Department’s</w:t>
      </w:r>
      <w:r w:rsidRPr="00762E16">
        <w:t xml:space="preserve"> and owners</w:t>
      </w:r>
      <w:r>
        <w:t>’</w:t>
      </w:r>
      <w:r w:rsidRPr="00762E16">
        <w:t xml:space="preserve"> and operators</w:t>
      </w:r>
      <w:r>
        <w:t>’</w:t>
      </w:r>
      <w:r w:rsidRPr="00762E16">
        <w:t xml:space="preserve"> obligations to training. </w:t>
      </w:r>
    </w:p>
    <w:p w:rsidR="00DC2FB6" w:rsidRDefault="00DC2FB6" w:rsidP="00DC2FB6">
      <w:pPr>
        <w:pStyle w:val="BodyText"/>
      </w:pPr>
      <w:r w:rsidRPr="00762E16">
        <w:t xml:space="preserve">Some of those requirements </w:t>
      </w:r>
      <w:r>
        <w:t>include</w:t>
      </w:r>
      <w:r w:rsidRPr="00762E16">
        <w:t xml:space="preserve"> the following:</w:t>
      </w:r>
    </w:p>
    <w:p w:rsidR="00DC2FB6" w:rsidRPr="00762E16" w:rsidRDefault="00DC2FB6" w:rsidP="00DC2FB6">
      <w:pPr>
        <w:pStyle w:val="Bullet"/>
        <w:numPr>
          <w:ilvl w:val="0"/>
          <w:numId w:val="1"/>
        </w:numPr>
      </w:pPr>
      <w:r>
        <w:t>The Department</w:t>
      </w:r>
      <w:r w:rsidRPr="00762E16">
        <w:t xml:space="preserve"> will adopt an owner and operator training program</w:t>
      </w:r>
      <w:r>
        <w:t>.</w:t>
      </w:r>
    </w:p>
    <w:p w:rsidR="00DC2FB6" w:rsidRPr="00762E16" w:rsidRDefault="00DC2FB6" w:rsidP="00DC2FB6">
      <w:pPr>
        <w:pStyle w:val="Bullet"/>
        <w:numPr>
          <w:ilvl w:val="0"/>
          <w:numId w:val="1"/>
        </w:numPr>
      </w:pPr>
      <w:r w:rsidRPr="00762E16">
        <w:t>The training will be provided at no</w:t>
      </w:r>
      <w:r>
        <w:t xml:space="preserve"> </w:t>
      </w:r>
      <w:r w:rsidRPr="00762E16">
        <w:t>cost</w:t>
      </w:r>
      <w:r>
        <w:t>.</w:t>
      </w:r>
      <w:r w:rsidRPr="00762E16">
        <w:t xml:space="preserve"> </w:t>
      </w:r>
    </w:p>
    <w:p w:rsidR="00DC2FB6" w:rsidRPr="00762E16" w:rsidRDefault="00DC2FB6" w:rsidP="00DC2FB6">
      <w:pPr>
        <w:pStyle w:val="Bullet"/>
        <w:numPr>
          <w:ilvl w:val="0"/>
          <w:numId w:val="1"/>
        </w:numPr>
      </w:pPr>
      <w:r w:rsidRPr="00762E16">
        <w:t>The training will be conducted at the owner or operator’s UST site.</w:t>
      </w:r>
    </w:p>
    <w:p w:rsidR="00DC2FB6" w:rsidRPr="00762E16" w:rsidRDefault="00DC2FB6" w:rsidP="00DC2FB6">
      <w:pPr>
        <w:pStyle w:val="Bullet"/>
        <w:numPr>
          <w:ilvl w:val="0"/>
          <w:numId w:val="1"/>
        </w:numPr>
      </w:pPr>
      <w:r w:rsidRPr="00762E16">
        <w:t xml:space="preserve">The owner or operator must designate a </w:t>
      </w:r>
      <w:r>
        <w:t>c</w:t>
      </w:r>
      <w:r w:rsidRPr="00762E16">
        <w:t xml:space="preserve">lass A, </w:t>
      </w:r>
      <w:r>
        <w:t>c</w:t>
      </w:r>
      <w:r w:rsidRPr="00762E16">
        <w:t xml:space="preserve">lass B, and </w:t>
      </w:r>
      <w:r>
        <w:t>c</w:t>
      </w:r>
      <w:r w:rsidRPr="00762E16">
        <w:t xml:space="preserve">lass C </w:t>
      </w:r>
      <w:r>
        <w:t>o</w:t>
      </w:r>
      <w:r w:rsidRPr="00762E16">
        <w:t xml:space="preserve">perator.  The </w:t>
      </w:r>
      <w:r>
        <w:t>c</w:t>
      </w:r>
      <w:r w:rsidRPr="00762E16">
        <w:t xml:space="preserve">lass A and </w:t>
      </w:r>
      <w:r>
        <w:t>c</w:t>
      </w:r>
      <w:r w:rsidRPr="00762E16">
        <w:t xml:space="preserve">lass B </w:t>
      </w:r>
      <w:r>
        <w:t>o</w:t>
      </w:r>
      <w:r w:rsidRPr="00762E16">
        <w:t xml:space="preserve">perators must be reported to </w:t>
      </w:r>
      <w:r>
        <w:t>the department</w:t>
      </w:r>
      <w:r w:rsidRPr="00762E16">
        <w:t xml:space="preserve"> within 30</w:t>
      </w:r>
      <w:r>
        <w:t> </w:t>
      </w:r>
      <w:r w:rsidRPr="00762E16">
        <w:t>days of the designation and then be trained according to their class.</w:t>
      </w:r>
    </w:p>
    <w:p w:rsidR="00DC2FB6" w:rsidRPr="00762E16" w:rsidRDefault="00DC2FB6" w:rsidP="00DC2FB6">
      <w:pPr>
        <w:pStyle w:val="bulletlevel2"/>
        <w:tabs>
          <w:tab w:val="left" w:pos="720"/>
          <w:tab w:val="center" w:pos="1440"/>
        </w:tabs>
      </w:pPr>
      <w:r w:rsidRPr="00762E16">
        <w:t xml:space="preserve">Class A </w:t>
      </w:r>
      <w:r>
        <w:t>o</w:t>
      </w:r>
      <w:r w:rsidRPr="00762E16">
        <w:t>perator</w:t>
      </w:r>
      <w:r>
        <w:t>—</w:t>
      </w:r>
      <w:r w:rsidRPr="00762E16">
        <w:t>has primary res</w:t>
      </w:r>
      <w:r>
        <w:t xml:space="preserve">ponsibility for the UST system </w:t>
      </w:r>
      <w:r w:rsidRPr="00762E16">
        <w:t>(i.e.</w:t>
      </w:r>
      <w:r>
        <w:t>, </w:t>
      </w:r>
      <w:r w:rsidRPr="00762E16">
        <w:t>the owner)</w:t>
      </w:r>
    </w:p>
    <w:p w:rsidR="00DC2FB6" w:rsidRPr="00762E16" w:rsidRDefault="00DC2FB6" w:rsidP="00DC2FB6">
      <w:pPr>
        <w:pStyle w:val="bulletlevel2"/>
      </w:pPr>
      <w:r w:rsidRPr="00762E16">
        <w:t xml:space="preserve">Class B </w:t>
      </w:r>
      <w:r>
        <w:t>o</w:t>
      </w:r>
      <w:r w:rsidRPr="00762E16">
        <w:t>perator</w:t>
      </w:r>
      <w:r>
        <w:t>—</w:t>
      </w:r>
      <w:r w:rsidRPr="00762E16">
        <w:t>has daily on-site responsibility for the UST system (i.e.</w:t>
      </w:r>
      <w:r>
        <w:t>, </w:t>
      </w:r>
      <w:r w:rsidRPr="00762E16">
        <w:t>the manager)</w:t>
      </w:r>
    </w:p>
    <w:p w:rsidR="00DC2FB6" w:rsidRPr="00762E16" w:rsidRDefault="00DC2FB6" w:rsidP="00DC2FB6">
      <w:pPr>
        <w:pStyle w:val="bulletlevel2"/>
      </w:pPr>
      <w:r w:rsidRPr="00762E16">
        <w:t xml:space="preserve">Class C </w:t>
      </w:r>
      <w:r>
        <w:t>o</w:t>
      </w:r>
      <w:r w:rsidRPr="00762E16">
        <w:t>perator</w:t>
      </w:r>
      <w:r>
        <w:t>—</w:t>
      </w:r>
      <w:r w:rsidRPr="00762E16">
        <w:t>has daily on-site</w:t>
      </w:r>
      <w:r>
        <w:t xml:space="preserve"> responsibility for addressing </w:t>
      </w:r>
      <w:r w:rsidRPr="00762E16">
        <w:t>UST emergencies (i.e.</w:t>
      </w:r>
      <w:r>
        <w:t>,</w:t>
      </w:r>
      <w:r w:rsidRPr="00762E16">
        <w:t xml:space="preserve"> the clerk)</w:t>
      </w:r>
    </w:p>
    <w:p w:rsidR="00DC2FB6" w:rsidRPr="00762E16" w:rsidRDefault="00DC2FB6" w:rsidP="00DC2FB6">
      <w:pPr>
        <w:pStyle w:val="Bullet"/>
        <w:numPr>
          <w:ilvl w:val="0"/>
          <w:numId w:val="1"/>
        </w:numPr>
      </w:pPr>
      <w:r w:rsidRPr="00762E16">
        <w:t xml:space="preserve">The </w:t>
      </w:r>
      <w:r>
        <w:t>c</w:t>
      </w:r>
      <w:r w:rsidRPr="00762E16">
        <w:t xml:space="preserve">lass A or B </w:t>
      </w:r>
      <w:r>
        <w:t>o</w:t>
      </w:r>
      <w:r w:rsidRPr="00762E16">
        <w:t xml:space="preserve">perator may train the </w:t>
      </w:r>
      <w:r>
        <w:t>c</w:t>
      </w:r>
      <w:r w:rsidRPr="00762E16">
        <w:t xml:space="preserve">lass C </w:t>
      </w:r>
      <w:r>
        <w:t>o</w:t>
      </w:r>
      <w:r w:rsidRPr="00762E16">
        <w:t>perator.</w:t>
      </w:r>
    </w:p>
    <w:p w:rsidR="00DC2FB6" w:rsidRPr="00762E16" w:rsidRDefault="00DC2FB6" w:rsidP="00DC2FB6">
      <w:pPr>
        <w:pStyle w:val="Bullet"/>
        <w:numPr>
          <w:ilvl w:val="0"/>
          <w:numId w:val="1"/>
        </w:numPr>
      </w:pPr>
      <w:r>
        <w:t>If their UST system is out of compliance, t</w:t>
      </w:r>
      <w:r w:rsidRPr="00762E16">
        <w:t xml:space="preserve">he trained operators must repeat the training within 30 days </w:t>
      </w:r>
      <w:r>
        <w:t>of the noncompliance event</w:t>
      </w:r>
      <w:r w:rsidRPr="00762E16">
        <w:t>.</w:t>
      </w:r>
    </w:p>
    <w:p w:rsidR="00DC2FB6" w:rsidRPr="00762E16" w:rsidRDefault="00DC2FB6" w:rsidP="00DC2FB6">
      <w:pPr>
        <w:pStyle w:val="Bullet"/>
        <w:numPr>
          <w:ilvl w:val="0"/>
          <w:numId w:val="1"/>
        </w:numPr>
      </w:pPr>
      <w:r w:rsidRPr="00762E16">
        <w:t>Unattended or unmanned sites need a sign in a visible location indicating emergency shut-off procedures and contact information.</w:t>
      </w:r>
    </w:p>
    <w:p w:rsidR="00DC2FB6" w:rsidRPr="000805A9" w:rsidRDefault="00DC2FB6" w:rsidP="00DC2FB6">
      <w:pPr>
        <w:pStyle w:val="BodyText"/>
        <w:keepNext/>
        <w:keepLines/>
        <w:widowControl w:val="0"/>
        <w:rPr>
          <w:b/>
          <w:u w:val="single"/>
        </w:rPr>
      </w:pPr>
      <w:r w:rsidRPr="000805A9">
        <w:rPr>
          <w:b/>
          <w:u w:val="single"/>
        </w:rPr>
        <w:t>Inspections (Section 400)</w:t>
      </w:r>
    </w:p>
    <w:p w:rsidR="00DC2FB6" w:rsidRDefault="00DC2FB6" w:rsidP="00DC2FB6">
      <w:pPr>
        <w:pStyle w:val="BodyText"/>
      </w:pPr>
      <w:r w:rsidRPr="00762E16">
        <w:t>This section describes what UST equipment</w:t>
      </w:r>
      <w:r>
        <w:t>, actions,</w:t>
      </w:r>
      <w:r w:rsidRPr="00762E16">
        <w:t xml:space="preserve"> and paperwork a D</w:t>
      </w:r>
      <w:r>
        <w:t>epartment</w:t>
      </w:r>
      <w:r w:rsidRPr="00762E16">
        <w:t xml:space="preserve"> inspector will use to assess compliance</w:t>
      </w:r>
      <w:r>
        <w:t>, including the following</w:t>
      </w:r>
      <w:r w:rsidRPr="00762E16">
        <w:t>:</w:t>
      </w:r>
    </w:p>
    <w:p w:rsidR="00DC2FB6" w:rsidRPr="00762E16" w:rsidRDefault="00DC2FB6" w:rsidP="00DC2FB6">
      <w:pPr>
        <w:pStyle w:val="Bullet"/>
        <w:numPr>
          <w:ilvl w:val="0"/>
          <w:numId w:val="1"/>
        </w:numPr>
      </w:pPr>
      <w:r w:rsidRPr="00762E16">
        <w:t>Notification</w:t>
      </w:r>
    </w:p>
    <w:p w:rsidR="00DC2FB6" w:rsidRPr="00762E16" w:rsidRDefault="00DC2FB6" w:rsidP="00DC2FB6">
      <w:pPr>
        <w:pStyle w:val="Bullet"/>
        <w:numPr>
          <w:ilvl w:val="0"/>
          <w:numId w:val="1"/>
        </w:numPr>
      </w:pPr>
      <w:r w:rsidRPr="00762E16">
        <w:t>Corrosion protection</w:t>
      </w:r>
    </w:p>
    <w:p w:rsidR="00DC2FB6" w:rsidRPr="00762E16" w:rsidRDefault="00DC2FB6" w:rsidP="00DC2FB6">
      <w:pPr>
        <w:pStyle w:val="Bullet"/>
        <w:numPr>
          <w:ilvl w:val="0"/>
          <w:numId w:val="1"/>
        </w:numPr>
      </w:pPr>
      <w:r w:rsidRPr="00762E16">
        <w:t>Overfill prevention in place and operational</w:t>
      </w:r>
    </w:p>
    <w:p w:rsidR="00DC2FB6" w:rsidRPr="00762E16" w:rsidRDefault="00DC2FB6" w:rsidP="00DC2FB6">
      <w:pPr>
        <w:pStyle w:val="Bullet"/>
        <w:numPr>
          <w:ilvl w:val="0"/>
          <w:numId w:val="1"/>
        </w:numPr>
      </w:pPr>
      <w:r w:rsidRPr="00762E16">
        <w:t>Spill prevention in place and operational</w:t>
      </w:r>
    </w:p>
    <w:p w:rsidR="00DC2FB6" w:rsidRPr="00762E16" w:rsidRDefault="00DC2FB6" w:rsidP="00DC2FB6">
      <w:pPr>
        <w:pStyle w:val="Bullet"/>
        <w:numPr>
          <w:ilvl w:val="0"/>
          <w:numId w:val="1"/>
        </w:numPr>
      </w:pPr>
      <w:r w:rsidRPr="00762E16">
        <w:t>Tank and piping release detection</w:t>
      </w:r>
    </w:p>
    <w:p w:rsidR="00DC2FB6" w:rsidRPr="00762E16" w:rsidRDefault="00DC2FB6" w:rsidP="00DC2FB6">
      <w:pPr>
        <w:pStyle w:val="Bullet"/>
        <w:numPr>
          <w:ilvl w:val="0"/>
          <w:numId w:val="1"/>
        </w:numPr>
      </w:pPr>
      <w:r w:rsidRPr="00762E16">
        <w:t>Reporting suspected releases</w:t>
      </w:r>
    </w:p>
    <w:p w:rsidR="00DC2FB6" w:rsidRPr="00762E16" w:rsidRDefault="00DC2FB6" w:rsidP="00DC2FB6">
      <w:pPr>
        <w:pStyle w:val="Bullet"/>
        <w:numPr>
          <w:ilvl w:val="0"/>
          <w:numId w:val="1"/>
        </w:numPr>
      </w:pPr>
      <w:r w:rsidRPr="00762E16">
        <w:t>Records of tank and piping repairs</w:t>
      </w:r>
    </w:p>
    <w:p w:rsidR="00DC2FB6" w:rsidRPr="00762E16" w:rsidRDefault="00DC2FB6" w:rsidP="00DC2FB6">
      <w:pPr>
        <w:pStyle w:val="Bullet"/>
        <w:numPr>
          <w:ilvl w:val="0"/>
          <w:numId w:val="1"/>
        </w:numPr>
      </w:pPr>
      <w:r w:rsidRPr="00762E16">
        <w:t>Secondary containment where required</w:t>
      </w:r>
    </w:p>
    <w:p w:rsidR="00DC2FB6" w:rsidRPr="00762E16" w:rsidRDefault="00DC2FB6" w:rsidP="00DC2FB6">
      <w:pPr>
        <w:pStyle w:val="Bullet"/>
        <w:numPr>
          <w:ilvl w:val="0"/>
          <w:numId w:val="1"/>
        </w:numPr>
      </w:pPr>
      <w:r w:rsidRPr="00762E16">
        <w:t>Financial responsibility</w:t>
      </w:r>
    </w:p>
    <w:p w:rsidR="00DC2FB6" w:rsidRPr="00762E16" w:rsidRDefault="00DC2FB6" w:rsidP="00DC2FB6">
      <w:pPr>
        <w:pStyle w:val="Bullet"/>
        <w:numPr>
          <w:ilvl w:val="0"/>
          <w:numId w:val="1"/>
        </w:numPr>
      </w:pPr>
      <w:r w:rsidRPr="00762E16">
        <w:t>Temporary closure</w:t>
      </w:r>
    </w:p>
    <w:p w:rsidR="00DC2FB6" w:rsidRPr="00762E16" w:rsidRDefault="00DC2FB6" w:rsidP="00DC2FB6">
      <w:pPr>
        <w:pStyle w:val="BodyText"/>
      </w:pPr>
      <w:r w:rsidRPr="00762E16">
        <w:t xml:space="preserve">An inspection will be conducted at least once every </w:t>
      </w:r>
      <w:r>
        <w:t>3 </w:t>
      </w:r>
      <w:r w:rsidRPr="00762E16">
        <w:t>years and all inspections will be conducted on</w:t>
      </w:r>
      <w:r>
        <w:t xml:space="preserve"> </w:t>
      </w:r>
      <w:r w:rsidRPr="00762E16">
        <w:t xml:space="preserve">site. </w:t>
      </w:r>
    </w:p>
    <w:p w:rsidR="00DC2FB6" w:rsidRPr="000805A9" w:rsidRDefault="00DC2FB6" w:rsidP="00DC2FB6">
      <w:pPr>
        <w:pStyle w:val="BodyText"/>
        <w:keepNext/>
        <w:keepLines/>
        <w:widowControl w:val="0"/>
        <w:rPr>
          <w:b/>
          <w:u w:val="single"/>
        </w:rPr>
      </w:pPr>
      <w:r w:rsidRPr="000805A9">
        <w:rPr>
          <w:b/>
          <w:u w:val="single"/>
        </w:rPr>
        <w:lastRenderedPageBreak/>
        <w:t>Delivery Prohibition (Section 500)</w:t>
      </w:r>
    </w:p>
    <w:p w:rsidR="00DC2FB6" w:rsidRDefault="00DC2FB6" w:rsidP="00DC2FB6">
      <w:pPr>
        <w:pStyle w:val="BodyText"/>
      </w:pPr>
      <w:r w:rsidRPr="00762E16">
        <w:t xml:space="preserve">This section </w:t>
      </w:r>
      <w:r>
        <w:t>states</w:t>
      </w:r>
      <w:r w:rsidRPr="00762E16">
        <w:t xml:space="preserve"> that it is unlawful to deliver to, deposit into, or accept a regulated substance into an ineligible UST.  A tank </w:t>
      </w:r>
      <w:r w:rsidRPr="00F643C9">
        <w:rPr>
          <w:i/>
        </w:rPr>
        <w:t>will</w:t>
      </w:r>
      <w:r w:rsidRPr="00762E16">
        <w:t xml:space="preserve"> be ineligible if </w:t>
      </w:r>
      <w:r>
        <w:t xml:space="preserve">any of </w:t>
      </w:r>
      <w:r w:rsidRPr="00762E16">
        <w:t xml:space="preserve">the following </w:t>
      </w:r>
      <w:r>
        <w:t>statements are true</w:t>
      </w:r>
      <w:r w:rsidRPr="00762E16">
        <w:t>:</w:t>
      </w:r>
    </w:p>
    <w:p w:rsidR="00DC2FB6" w:rsidRPr="00762E16" w:rsidRDefault="00DC2FB6" w:rsidP="00DC2FB6">
      <w:pPr>
        <w:pStyle w:val="Bullet"/>
        <w:numPr>
          <w:ilvl w:val="0"/>
          <w:numId w:val="1"/>
        </w:numPr>
      </w:pPr>
      <w:r w:rsidRPr="00762E16">
        <w:t>Required spill equipment is not installed</w:t>
      </w:r>
    </w:p>
    <w:p w:rsidR="00DC2FB6" w:rsidRPr="00762E16" w:rsidRDefault="00DC2FB6" w:rsidP="00DC2FB6">
      <w:pPr>
        <w:pStyle w:val="Bullet"/>
        <w:numPr>
          <w:ilvl w:val="0"/>
          <w:numId w:val="1"/>
        </w:numPr>
      </w:pPr>
      <w:r w:rsidRPr="00762E16">
        <w:t>Required overfill protection equipment is not installed</w:t>
      </w:r>
    </w:p>
    <w:p w:rsidR="00DC2FB6" w:rsidRPr="00762E16" w:rsidRDefault="00DC2FB6" w:rsidP="00DC2FB6">
      <w:pPr>
        <w:pStyle w:val="Bullet"/>
        <w:numPr>
          <w:ilvl w:val="0"/>
          <w:numId w:val="1"/>
        </w:numPr>
      </w:pPr>
      <w:r w:rsidRPr="00762E16">
        <w:t>Required leak detection equipment is not installed</w:t>
      </w:r>
    </w:p>
    <w:p w:rsidR="00DC2FB6" w:rsidRPr="00762E16" w:rsidRDefault="00DC2FB6" w:rsidP="00DC2FB6">
      <w:pPr>
        <w:pStyle w:val="Bullet"/>
        <w:numPr>
          <w:ilvl w:val="0"/>
          <w:numId w:val="1"/>
        </w:numPr>
      </w:pPr>
      <w:r w:rsidRPr="00762E16">
        <w:t>Required corrosion protection equipment is not installed</w:t>
      </w:r>
    </w:p>
    <w:p w:rsidR="00DC2FB6" w:rsidRDefault="00DC2FB6" w:rsidP="00DC2FB6">
      <w:pPr>
        <w:pStyle w:val="BodyText"/>
      </w:pPr>
      <w:r>
        <w:t>A tank</w:t>
      </w:r>
      <w:r w:rsidRPr="00762E16">
        <w:t xml:space="preserve"> </w:t>
      </w:r>
      <w:r w:rsidRPr="00F643C9">
        <w:rPr>
          <w:i/>
        </w:rPr>
        <w:t>may</w:t>
      </w:r>
      <w:r w:rsidRPr="00762E16">
        <w:t xml:space="preserve"> be ineligible if </w:t>
      </w:r>
      <w:r>
        <w:t>any of</w:t>
      </w:r>
      <w:r w:rsidRPr="00762E16">
        <w:t xml:space="preserve"> the following </w:t>
      </w:r>
      <w:r>
        <w:t>situations occur</w:t>
      </w:r>
      <w:r w:rsidRPr="00762E16">
        <w:t>:</w:t>
      </w:r>
    </w:p>
    <w:p w:rsidR="00DC2FB6" w:rsidRPr="00762E16" w:rsidRDefault="00DC2FB6" w:rsidP="00DC2FB6">
      <w:pPr>
        <w:pStyle w:val="Bullet"/>
        <w:numPr>
          <w:ilvl w:val="0"/>
          <w:numId w:val="1"/>
        </w:numPr>
      </w:pPr>
      <w:r w:rsidRPr="00762E16">
        <w:t>Failure to properly operate or maintain leak detection equipment</w:t>
      </w:r>
    </w:p>
    <w:p w:rsidR="00DC2FB6" w:rsidRPr="00762E16" w:rsidRDefault="00DC2FB6" w:rsidP="00DC2FB6">
      <w:pPr>
        <w:pStyle w:val="Bullet"/>
        <w:numPr>
          <w:ilvl w:val="0"/>
          <w:numId w:val="1"/>
        </w:numPr>
      </w:pPr>
      <w:r w:rsidRPr="00762E16">
        <w:t>Failure to properly operate or maintain spill, overfill, or corrosion protection equipment</w:t>
      </w:r>
    </w:p>
    <w:p w:rsidR="00DC2FB6" w:rsidRPr="00762E16" w:rsidRDefault="00DC2FB6" w:rsidP="00DC2FB6">
      <w:pPr>
        <w:pStyle w:val="Bullet"/>
        <w:numPr>
          <w:ilvl w:val="0"/>
          <w:numId w:val="1"/>
        </w:numPr>
      </w:pPr>
      <w:r w:rsidRPr="00762E16">
        <w:t>Failure to maintain financial responsibility</w:t>
      </w:r>
    </w:p>
    <w:p w:rsidR="00DC2FB6" w:rsidRPr="00762E16" w:rsidRDefault="00DC2FB6" w:rsidP="00DC2FB6">
      <w:pPr>
        <w:pStyle w:val="BodyText"/>
      </w:pPr>
      <w:r w:rsidRPr="00762E16">
        <w:t>The owner will be notified prior to prohibiting deliveries and will have the opportunity to appeal.  A tamper-proof red tag will be attached to each ineligible fuel tank’s fill pipe.</w:t>
      </w:r>
    </w:p>
    <w:p w:rsidR="00DC2FB6" w:rsidRPr="00762E16" w:rsidRDefault="00DC2FB6" w:rsidP="00DC2FB6">
      <w:pPr>
        <w:pStyle w:val="BodyText"/>
      </w:pPr>
      <w:r w:rsidRPr="00762E16">
        <w:t xml:space="preserve">A current list of all ineligible fuel tanks will be posted on </w:t>
      </w:r>
      <w:r>
        <w:t>the Department’</w:t>
      </w:r>
      <w:r w:rsidRPr="00762E16">
        <w:t>s website.</w:t>
      </w:r>
    </w:p>
    <w:p w:rsidR="00DC2FB6" w:rsidRPr="000805A9" w:rsidRDefault="00DC2FB6" w:rsidP="00DC2FB6">
      <w:pPr>
        <w:pStyle w:val="BodyText"/>
        <w:keepNext/>
        <w:keepLines/>
        <w:widowControl w:val="0"/>
        <w:rPr>
          <w:b/>
          <w:u w:val="single"/>
        </w:rPr>
      </w:pPr>
      <w:r w:rsidRPr="000805A9">
        <w:rPr>
          <w:b/>
          <w:u w:val="single"/>
        </w:rPr>
        <w:t>UST Database Maintenance (Section 600)</w:t>
      </w:r>
    </w:p>
    <w:p w:rsidR="00DC2FB6" w:rsidRPr="009719C4" w:rsidRDefault="00DC2FB6" w:rsidP="00DC2FB6">
      <w:pPr>
        <w:pStyle w:val="BodyText"/>
      </w:pPr>
      <w:r w:rsidRPr="00762E16">
        <w:t xml:space="preserve">This section </w:t>
      </w:r>
      <w:r>
        <w:t>states</w:t>
      </w:r>
      <w:r w:rsidRPr="00762E16">
        <w:t xml:space="preserve"> that </w:t>
      </w:r>
      <w:r>
        <w:t>the Department</w:t>
      </w:r>
      <w:r w:rsidRPr="00762E16">
        <w:t xml:space="preserve"> will maintain a quarterly</w:t>
      </w:r>
      <w:r>
        <w:t>-</w:t>
      </w:r>
      <w:r w:rsidRPr="00762E16">
        <w:t xml:space="preserve">updated database that contains information on the status of all UST systems.  The database is available on </w:t>
      </w:r>
      <w:r>
        <w:t>the Department</w:t>
      </w:r>
      <w:r w:rsidRPr="00762E16">
        <w:t>’s website at</w:t>
      </w:r>
      <w:r>
        <w:t xml:space="preserve"> </w:t>
      </w:r>
      <w:hyperlink r:id="rId11" w:history="1">
        <w:r w:rsidRPr="00414E11">
          <w:rPr>
            <w:rStyle w:val="Hyperlink"/>
          </w:rPr>
          <w:t>www.deq.idaho.gov/applications/ust-lust</w:t>
        </w:r>
      </w:hyperlink>
      <w:r w:rsidRPr="00762E16">
        <w:t>.</w:t>
      </w:r>
    </w:p>
    <w:p w:rsidR="00294C1D" w:rsidRDefault="00294C1D"/>
    <w:sectPr w:rsidR="00294C1D">
      <w:head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A2B58">
      <w:r>
        <w:separator/>
      </w:r>
    </w:p>
  </w:endnote>
  <w:endnote w:type="continuationSeparator" w:id="0">
    <w:p w:rsidR="00000000" w:rsidRDefault="003A2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A2B58">
      <w:r>
        <w:separator/>
      </w:r>
    </w:p>
  </w:footnote>
  <w:footnote w:type="continuationSeparator" w:id="0">
    <w:p w:rsidR="00000000" w:rsidRDefault="003A2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8D0" w:rsidRPr="00DD4D30" w:rsidRDefault="00DC2FB6" w:rsidP="00DD4D30">
    <w:pPr>
      <w:pStyle w:val="Header"/>
      <w:pBdr>
        <w:bottom w:val="single" w:sz="4" w:space="1" w:color="auto"/>
      </w:pBdr>
      <w:tabs>
        <w:tab w:val="left" w:pos="3622"/>
      </w:tabs>
      <w:jc w:val="right"/>
      <w:rPr>
        <w:sz w:val="20"/>
        <w:szCs w:val="20"/>
      </w:rPr>
    </w:pPr>
    <w:r>
      <w:rPr>
        <w:sz w:val="20"/>
        <w:szCs w:val="20"/>
      </w:rPr>
      <w:t>Application for Approval of Idaho’s UST Program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54F7D"/>
    <w:multiLevelType w:val="hybridMultilevel"/>
    <w:tmpl w:val="4EF44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9340D4"/>
    <w:multiLevelType w:val="hybridMultilevel"/>
    <w:tmpl w:val="62AA68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8661AF2"/>
    <w:multiLevelType w:val="hybridMultilevel"/>
    <w:tmpl w:val="BD9C8514"/>
    <w:lvl w:ilvl="0" w:tplc="679A14BC">
      <w:start w:val="1"/>
      <w:numFmt w:val="bullet"/>
      <w:pStyle w:val="bulletlevel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136470"/>
    <w:multiLevelType w:val="hybridMultilevel"/>
    <w:tmpl w:val="C6F086D8"/>
    <w:lvl w:ilvl="0" w:tplc="04090001">
      <w:start w:val="1"/>
      <w:numFmt w:val="bullet"/>
      <w:lvlText w:val=""/>
      <w:lvlJc w:val="left"/>
      <w:pPr>
        <w:ind w:left="932" w:hanging="360"/>
      </w:pPr>
      <w:rPr>
        <w:rFonts w:ascii="Symbol" w:hAnsi="Symbol" w:hint="default"/>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FB6"/>
    <w:rsid w:val="00294C1D"/>
    <w:rsid w:val="003A2B58"/>
    <w:rsid w:val="00DC2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1AAEEB15-571D-447F-8037-3EDF1E25E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FB6"/>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DC2FB6"/>
    <w:pPr>
      <w:spacing w:after="360"/>
      <w:jc w:val="center"/>
      <w:outlineLvl w:val="0"/>
    </w:pPr>
    <w:rPr>
      <w:rFonts w:cs="Arial"/>
      <w:b/>
      <w:bCs/>
      <w:sz w:val="32"/>
      <w:szCs w:val="28"/>
    </w:rPr>
  </w:style>
  <w:style w:type="paragraph" w:styleId="Heading2">
    <w:name w:val="heading 2"/>
    <w:basedOn w:val="Normal"/>
    <w:next w:val="Normal"/>
    <w:link w:val="Heading2Char"/>
    <w:qFormat/>
    <w:rsid w:val="00DC2FB6"/>
    <w:pPr>
      <w:keepNext/>
      <w:keepLines/>
      <w:widowControl w:val="0"/>
      <w:spacing w:before="240" w:after="60"/>
      <w:outlineLvl w:val="1"/>
    </w:pPr>
    <w:rPr>
      <w:b/>
      <w:bCs/>
      <w:iCs/>
      <w:sz w:val="28"/>
      <w:szCs w:val="28"/>
    </w:rPr>
  </w:style>
  <w:style w:type="paragraph" w:styleId="Heading3">
    <w:name w:val="heading 3"/>
    <w:basedOn w:val="Normal"/>
    <w:link w:val="Heading3Char"/>
    <w:qFormat/>
    <w:rsid w:val="00DC2FB6"/>
    <w:pPr>
      <w:keepNext/>
      <w:keepLines/>
      <w:widowControl w:val="0"/>
      <w:spacing w:before="120" w:after="120"/>
      <w:outlineLvl w:val="2"/>
    </w:pPr>
    <w:rPr>
      <w:b/>
      <w:bCs/>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2FB6"/>
    <w:rPr>
      <w:rFonts w:ascii="Arial" w:eastAsia="Times New Roman" w:hAnsi="Arial" w:cs="Arial"/>
      <w:b/>
      <w:bCs/>
      <w:sz w:val="32"/>
      <w:szCs w:val="28"/>
    </w:rPr>
  </w:style>
  <w:style w:type="character" w:customStyle="1" w:styleId="Heading2Char">
    <w:name w:val="Heading 2 Char"/>
    <w:basedOn w:val="DefaultParagraphFont"/>
    <w:link w:val="Heading2"/>
    <w:rsid w:val="00DC2FB6"/>
    <w:rPr>
      <w:rFonts w:ascii="Arial" w:eastAsia="Times New Roman" w:hAnsi="Arial" w:cs="Times New Roman"/>
      <w:b/>
      <w:bCs/>
      <w:iCs/>
      <w:sz w:val="28"/>
      <w:szCs w:val="28"/>
    </w:rPr>
  </w:style>
  <w:style w:type="character" w:customStyle="1" w:styleId="Heading3Char">
    <w:name w:val="Heading 3 Char"/>
    <w:basedOn w:val="DefaultParagraphFont"/>
    <w:link w:val="Heading3"/>
    <w:rsid w:val="00DC2FB6"/>
    <w:rPr>
      <w:rFonts w:ascii="Arial" w:eastAsia="Times New Roman" w:hAnsi="Arial" w:cs="Times New Roman"/>
      <w:b/>
      <w:bCs/>
      <w:sz w:val="24"/>
      <w:szCs w:val="27"/>
    </w:rPr>
  </w:style>
  <w:style w:type="character" w:styleId="Hyperlink">
    <w:name w:val="Hyperlink"/>
    <w:uiPriority w:val="99"/>
    <w:rsid w:val="00DC2FB6"/>
    <w:rPr>
      <w:color w:val="0000FF"/>
      <w:u w:val="single"/>
    </w:rPr>
  </w:style>
  <w:style w:type="paragraph" w:styleId="Header">
    <w:name w:val="header"/>
    <w:basedOn w:val="Normal"/>
    <w:link w:val="HeaderChar"/>
    <w:rsid w:val="00DC2FB6"/>
    <w:pPr>
      <w:tabs>
        <w:tab w:val="center" w:pos="4320"/>
        <w:tab w:val="right" w:pos="8640"/>
      </w:tabs>
    </w:pPr>
  </w:style>
  <w:style w:type="character" w:customStyle="1" w:styleId="HeaderChar">
    <w:name w:val="Header Char"/>
    <w:basedOn w:val="DefaultParagraphFont"/>
    <w:link w:val="Header"/>
    <w:rsid w:val="00DC2FB6"/>
    <w:rPr>
      <w:rFonts w:ascii="Arial" w:eastAsia="Times New Roman" w:hAnsi="Arial" w:cs="Times New Roman"/>
      <w:sz w:val="24"/>
      <w:szCs w:val="24"/>
    </w:rPr>
  </w:style>
  <w:style w:type="paragraph" w:styleId="BodyText">
    <w:name w:val="Body Text"/>
    <w:basedOn w:val="Normal"/>
    <w:link w:val="BodyTextChar"/>
    <w:rsid w:val="00DC2FB6"/>
    <w:pPr>
      <w:spacing w:after="120"/>
    </w:pPr>
  </w:style>
  <w:style w:type="character" w:customStyle="1" w:styleId="BodyTextChar">
    <w:name w:val="Body Text Char"/>
    <w:basedOn w:val="DefaultParagraphFont"/>
    <w:link w:val="BodyText"/>
    <w:rsid w:val="00DC2FB6"/>
    <w:rPr>
      <w:rFonts w:ascii="Arial" w:eastAsia="Times New Roman" w:hAnsi="Arial" w:cs="Times New Roman"/>
      <w:sz w:val="24"/>
      <w:szCs w:val="24"/>
    </w:rPr>
  </w:style>
  <w:style w:type="character" w:styleId="Emphasis">
    <w:name w:val="Emphasis"/>
    <w:qFormat/>
    <w:rsid w:val="00DC2FB6"/>
    <w:rPr>
      <w:i/>
      <w:iCs/>
    </w:rPr>
  </w:style>
  <w:style w:type="paragraph" w:customStyle="1" w:styleId="Bullet">
    <w:name w:val="Bullet"/>
    <w:basedOn w:val="Normal"/>
    <w:qFormat/>
    <w:rsid w:val="00DC2FB6"/>
    <w:pPr>
      <w:tabs>
        <w:tab w:val="num" w:pos="720"/>
      </w:tabs>
      <w:spacing w:after="120"/>
      <w:ind w:left="720" w:hanging="360"/>
      <w:contextualSpacing/>
    </w:pPr>
    <w:rPr>
      <w:rFonts w:cs="Arial"/>
      <w:bCs/>
    </w:rPr>
  </w:style>
  <w:style w:type="paragraph" w:customStyle="1" w:styleId="Number">
    <w:name w:val="Number"/>
    <w:basedOn w:val="Normal"/>
    <w:qFormat/>
    <w:rsid w:val="00DC2FB6"/>
    <w:pPr>
      <w:tabs>
        <w:tab w:val="num" w:pos="720"/>
      </w:tabs>
      <w:spacing w:after="120"/>
      <w:ind w:left="720" w:hanging="360"/>
      <w:contextualSpacing/>
    </w:pPr>
    <w:rPr>
      <w:rFonts w:cs="Arial"/>
      <w:bCs/>
    </w:rPr>
  </w:style>
  <w:style w:type="paragraph" w:customStyle="1" w:styleId="bulletlevel2">
    <w:name w:val="bullet level 2"/>
    <w:basedOn w:val="Header"/>
    <w:next w:val="Numberedlistitemforexpansion"/>
    <w:qFormat/>
    <w:rsid w:val="00DC2FB6"/>
    <w:pPr>
      <w:numPr>
        <w:numId w:val="2"/>
      </w:numPr>
      <w:tabs>
        <w:tab w:val="clear" w:pos="4320"/>
        <w:tab w:val="clear" w:pos="8640"/>
        <w:tab w:val="left" w:pos="1080"/>
      </w:tabs>
      <w:spacing w:after="120"/>
      <w:ind w:left="1080"/>
      <w:contextualSpacing/>
    </w:pPr>
  </w:style>
  <w:style w:type="paragraph" w:customStyle="1" w:styleId="Tabletext">
    <w:name w:val="Table text"/>
    <w:basedOn w:val="BodyText"/>
    <w:qFormat/>
    <w:rsid w:val="00DC2FB6"/>
    <w:pPr>
      <w:spacing w:after="0"/>
      <w:contextualSpacing/>
    </w:pPr>
  </w:style>
  <w:style w:type="paragraph" w:customStyle="1" w:styleId="Numberedlistitemforexpansion">
    <w:name w:val="Numbered list item for expansion"/>
    <w:basedOn w:val="BodyText"/>
    <w:qFormat/>
    <w:rsid w:val="00DC2FB6"/>
    <w:pPr>
      <w:tabs>
        <w:tab w:val="left" w:pos="288"/>
      </w:tabs>
    </w:pPr>
  </w:style>
  <w:style w:type="paragraph" w:customStyle="1" w:styleId="Bodytextindent02">
    <w:name w:val="Body text indent 0.2"/>
    <w:basedOn w:val="BodyText"/>
    <w:qFormat/>
    <w:rsid w:val="00DC2FB6"/>
    <w:pPr>
      <w:ind w:left="288"/>
    </w:pPr>
  </w:style>
  <w:style w:type="paragraph" w:customStyle="1" w:styleId="Bodytextnospacing">
    <w:name w:val="Body text no spacing"/>
    <w:basedOn w:val="BodyText"/>
    <w:qFormat/>
    <w:rsid w:val="00DC2FB6"/>
    <w:pPr>
      <w:spacing w:after="0"/>
    </w:pPr>
  </w:style>
  <w:style w:type="paragraph" w:styleId="Footer">
    <w:name w:val="footer"/>
    <w:basedOn w:val="Normal"/>
    <w:link w:val="FooterChar"/>
    <w:uiPriority w:val="99"/>
    <w:unhideWhenUsed/>
    <w:rsid w:val="003A2B58"/>
    <w:pPr>
      <w:tabs>
        <w:tab w:val="center" w:pos="4680"/>
        <w:tab w:val="right" w:pos="9360"/>
      </w:tabs>
    </w:pPr>
  </w:style>
  <w:style w:type="character" w:customStyle="1" w:styleId="FooterChar">
    <w:name w:val="Footer Char"/>
    <w:basedOn w:val="DefaultParagraphFont"/>
    <w:link w:val="Footer"/>
    <w:uiPriority w:val="99"/>
    <w:rsid w:val="003A2B58"/>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q.idaho.gov/Applications/Brownfields/download%5Ctitle39.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eq.idaho.gov/risk-evaluation-manua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eq.idaho.gov/applications/ust-lust" TargetMode="External"/><Relationship Id="rId5" Type="http://schemas.openxmlformats.org/officeDocument/2006/relationships/footnotes" Target="footnotes.xml"/><Relationship Id="rId10" Type="http://schemas.openxmlformats.org/officeDocument/2006/relationships/hyperlink" Target="http://www.deq.idaho.gov/Applications/Brownfields/download/guidance.pdf" TargetMode="External"/><Relationship Id="rId4" Type="http://schemas.openxmlformats.org/officeDocument/2006/relationships/webSettings" Target="webSettings.xml"/><Relationship Id="rId9" Type="http://schemas.openxmlformats.org/officeDocument/2006/relationships/hyperlink" Target="http://www.deq.idaho.gov/Applications/Brownfields/download%5CIDAPA58.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4522</Words>
  <Characters>25776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Approval of Idaho’s UST Program</dc:title>
  <dc:subject/>
  <dc:creator>US EPA Office of Underground Storage Tanks</dc:creator>
  <cp:keywords>spa</cp:keywords>
  <dc:description/>
  <cp:lastModifiedBy>Kate Bird</cp:lastModifiedBy>
  <cp:revision>2</cp:revision>
  <dcterms:created xsi:type="dcterms:W3CDTF">2016-05-24T11:24:00Z</dcterms:created>
  <dcterms:modified xsi:type="dcterms:W3CDTF">2016-06-10T15:28:00Z</dcterms:modified>
</cp:coreProperties>
</file>