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C4A" w:rsidRDefault="00EA1C4A" w:rsidP="00EA1C4A">
      <w:pPr>
        <w:spacing w:after="360"/>
        <w:rPr>
          <w:b/>
          <w:color w:val="4472C4" w:themeColor="accent5"/>
          <w:sz w:val="36"/>
          <w:szCs w:val="36"/>
        </w:rPr>
      </w:pPr>
      <w:bookmarkStart w:id="0" w:name="_GoBack"/>
      <w:bookmarkEnd w:id="0"/>
      <w:r w:rsidRPr="008A5A77">
        <w:rPr>
          <w:b/>
          <w:sz w:val="44"/>
          <w:szCs w:val="44"/>
        </w:rPr>
        <w:t>Quick Tips</w:t>
      </w:r>
      <w:r w:rsidRPr="008A5A77">
        <w:rPr>
          <w:b/>
        </w:rPr>
        <w:t xml:space="preserve"> </w:t>
      </w:r>
      <w:r w:rsidRPr="008A5A77">
        <w:rPr>
          <w:b/>
          <w:sz w:val="32"/>
          <w:szCs w:val="32"/>
        </w:rPr>
        <w:t>for</w:t>
      </w:r>
      <w:r w:rsidRPr="008A5A7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using the </w:t>
      </w:r>
      <w:r w:rsidR="00E72361">
        <w:rPr>
          <w:b/>
          <w:sz w:val="36"/>
          <w:szCs w:val="36"/>
        </w:rPr>
        <w:t xml:space="preserve">Policy &amp; </w:t>
      </w:r>
      <w:r w:rsidRPr="00BA4942">
        <w:rPr>
          <w:b/>
          <w:sz w:val="36"/>
          <w:szCs w:val="36"/>
        </w:rPr>
        <w:t>Program Impact Estimator</w:t>
      </w:r>
      <w:r>
        <w:rPr>
          <w:b/>
          <w:color w:val="4472C4" w:themeColor="accent5"/>
          <w:sz w:val="36"/>
          <w:szCs w:val="36"/>
        </w:rPr>
        <w:t xml:space="preserve"> </w:t>
      </w:r>
      <w:r w:rsidR="00C60CAC">
        <w:rPr>
          <w:b/>
          <w:color w:val="4472C4" w:themeColor="accent5"/>
          <w:sz w:val="36"/>
          <w:szCs w:val="36"/>
        </w:rPr>
        <w:br/>
      </w:r>
      <w:r>
        <w:rPr>
          <w:b/>
          <w:color w:val="00C400"/>
          <w:sz w:val="40"/>
          <w:szCs w:val="40"/>
        </w:rPr>
        <w:t>Running Implementation Scenarios</w:t>
      </w:r>
    </w:p>
    <w:p w:rsidR="00D2502F" w:rsidRDefault="00D2502F" w:rsidP="007656B1">
      <w:pPr>
        <w:spacing w:after="360"/>
        <w:rPr>
          <w:b/>
          <w:color w:val="00C400"/>
          <w:sz w:val="32"/>
          <w:szCs w:val="32"/>
          <w:u w:val="single"/>
        </w:rPr>
      </w:pPr>
      <w:r>
        <w:rPr>
          <w:b/>
          <w:color w:val="00C400"/>
          <w:sz w:val="32"/>
          <w:szCs w:val="32"/>
          <w:u w:val="single"/>
        </w:rPr>
        <w:t>What Policy &amp; Program Strategies Can I Run Scenarios For?</w:t>
      </w:r>
    </w:p>
    <w:tbl>
      <w:tblPr>
        <w:tblStyle w:val="TableGrid"/>
        <w:tblW w:w="90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85"/>
        <w:gridCol w:w="3060"/>
        <w:gridCol w:w="3240"/>
      </w:tblGrid>
      <w:tr w:rsidR="00D2502F" w:rsidTr="009154D0">
        <w:tc>
          <w:tcPr>
            <w:tcW w:w="2785" w:type="dxa"/>
          </w:tcPr>
          <w:p w:rsidR="00D2502F" w:rsidRPr="00D2502F" w:rsidRDefault="00D2502F" w:rsidP="00EA1C4A">
            <w:pPr>
              <w:spacing w:after="120"/>
              <w:rPr>
                <w:b/>
                <w:sz w:val="32"/>
                <w:szCs w:val="32"/>
              </w:rPr>
            </w:pPr>
            <w:r w:rsidRPr="00D2502F">
              <w:rPr>
                <w:b/>
                <w:sz w:val="32"/>
                <w:szCs w:val="32"/>
              </w:rPr>
              <w:t>Sector</w:t>
            </w:r>
          </w:p>
        </w:tc>
        <w:tc>
          <w:tcPr>
            <w:tcW w:w="3060" w:type="dxa"/>
          </w:tcPr>
          <w:p w:rsidR="00D2502F" w:rsidRPr="00D2502F" w:rsidRDefault="00D2502F" w:rsidP="00EA1C4A">
            <w:pPr>
              <w:spacing w:after="120"/>
              <w:rPr>
                <w:b/>
                <w:sz w:val="32"/>
                <w:szCs w:val="32"/>
              </w:rPr>
            </w:pPr>
            <w:r w:rsidRPr="00D2502F">
              <w:rPr>
                <w:b/>
                <w:sz w:val="32"/>
                <w:szCs w:val="32"/>
              </w:rPr>
              <w:t>Policy/Program</w:t>
            </w:r>
          </w:p>
        </w:tc>
        <w:tc>
          <w:tcPr>
            <w:tcW w:w="3240" w:type="dxa"/>
          </w:tcPr>
          <w:p w:rsidR="00D2502F" w:rsidRPr="00D2502F" w:rsidRDefault="00D2502F" w:rsidP="00EA1C4A">
            <w:pPr>
              <w:spacing w:after="120"/>
              <w:rPr>
                <w:b/>
                <w:sz w:val="32"/>
                <w:szCs w:val="32"/>
              </w:rPr>
            </w:pPr>
            <w:r w:rsidRPr="00D2502F">
              <w:rPr>
                <w:b/>
                <w:sz w:val="32"/>
                <w:szCs w:val="32"/>
              </w:rPr>
              <w:t>Type of Diversion</w:t>
            </w:r>
          </w:p>
        </w:tc>
      </w:tr>
      <w:tr w:rsidR="00D406EA" w:rsidTr="009154D0">
        <w:tc>
          <w:tcPr>
            <w:tcW w:w="2785" w:type="dxa"/>
            <w:vMerge w:val="restart"/>
            <w:shd w:val="clear" w:color="auto" w:fill="00CC99"/>
          </w:tcPr>
          <w:p w:rsidR="00D406EA" w:rsidRPr="007656B1" w:rsidRDefault="00D406EA" w:rsidP="00D406EA">
            <w:pPr>
              <w:jc w:val="center"/>
              <w:rPr>
                <w:sz w:val="28"/>
                <w:szCs w:val="28"/>
              </w:rPr>
            </w:pPr>
          </w:p>
          <w:p w:rsidR="00D406EA" w:rsidRPr="007656B1" w:rsidRDefault="00D406EA" w:rsidP="00D406EA">
            <w:pPr>
              <w:jc w:val="center"/>
              <w:rPr>
                <w:sz w:val="28"/>
                <w:szCs w:val="28"/>
              </w:rPr>
            </w:pPr>
          </w:p>
          <w:p w:rsidR="00D406EA" w:rsidRPr="007656B1" w:rsidRDefault="00D406EA" w:rsidP="00D406EA">
            <w:pPr>
              <w:rPr>
                <w:sz w:val="28"/>
                <w:szCs w:val="28"/>
              </w:rPr>
            </w:pPr>
          </w:p>
          <w:p w:rsidR="00D406EA" w:rsidRPr="007656B1" w:rsidRDefault="00D406EA" w:rsidP="00D406EA">
            <w:pPr>
              <w:rPr>
                <w:sz w:val="28"/>
                <w:szCs w:val="28"/>
              </w:rPr>
            </w:pPr>
            <w:r w:rsidRPr="007656B1">
              <w:rPr>
                <w:sz w:val="28"/>
                <w:szCs w:val="28"/>
              </w:rPr>
              <w:t>Single-Family Homes</w:t>
            </w:r>
          </w:p>
        </w:tc>
        <w:tc>
          <w:tcPr>
            <w:tcW w:w="3060" w:type="dxa"/>
            <w:shd w:val="clear" w:color="auto" w:fill="00CC99"/>
          </w:tcPr>
          <w:p w:rsidR="00D406EA" w:rsidRPr="007656B1" w:rsidRDefault="00D406EA" w:rsidP="00D406EA">
            <w:pPr>
              <w:rPr>
                <w:sz w:val="28"/>
                <w:szCs w:val="28"/>
              </w:rPr>
            </w:pPr>
          </w:p>
          <w:p w:rsidR="00D406EA" w:rsidRPr="007656B1" w:rsidRDefault="00D406EA" w:rsidP="00D406EA">
            <w:pPr>
              <w:rPr>
                <w:sz w:val="28"/>
                <w:szCs w:val="28"/>
              </w:rPr>
            </w:pPr>
            <w:r w:rsidRPr="007656B1">
              <w:rPr>
                <w:sz w:val="28"/>
                <w:szCs w:val="28"/>
              </w:rPr>
              <w:t>Pay As You Throw</w:t>
            </w:r>
          </w:p>
        </w:tc>
        <w:tc>
          <w:tcPr>
            <w:tcW w:w="3240" w:type="dxa"/>
            <w:shd w:val="clear" w:color="auto" w:fill="00CC99"/>
          </w:tcPr>
          <w:p w:rsidR="00D406EA" w:rsidRPr="007656B1" w:rsidRDefault="00D406EA" w:rsidP="00D406EA">
            <w:pPr>
              <w:rPr>
                <w:sz w:val="28"/>
                <w:szCs w:val="28"/>
              </w:rPr>
            </w:pPr>
            <w:r w:rsidRPr="007656B1">
              <w:rPr>
                <w:sz w:val="28"/>
                <w:szCs w:val="28"/>
              </w:rPr>
              <w:t>Source Reduction</w:t>
            </w:r>
          </w:p>
          <w:p w:rsidR="00D406EA" w:rsidRPr="007656B1" w:rsidRDefault="00D406EA" w:rsidP="00D406EA">
            <w:pPr>
              <w:rPr>
                <w:sz w:val="28"/>
                <w:szCs w:val="28"/>
              </w:rPr>
            </w:pPr>
            <w:r w:rsidRPr="007656B1">
              <w:rPr>
                <w:sz w:val="28"/>
                <w:szCs w:val="28"/>
              </w:rPr>
              <w:t>Recycling</w:t>
            </w:r>
          </w:p>
          <w:p w:rsidR="00D406EA" w:rsidRPr="007656B1" w:rsidRDefault="00D406EA" w:rsidP="00D406EA">
            <w:pPr>
              <w:rPr>
                <w:sz w:val="28"/>
                <w:szCs w:val="28"/>
              </w:rPr>
            </w:pPr>
            <w:r w:rsidRPr="007656B1">
              <w:rPr>
                <w:sz w:val="28"/>
                <w:szCs w:val="28"/>
              </w:rPr>
              <w:t>Composting</w:t>
            </w:r>
          </w:p>
        </w:tc>
      </w:tr>
      <w:tr w:rsidR="00D406EA" w:rsidTr="009154D0">
        <w:tc>
          <w:tcPr>
            <w:tcW w:w="2785" w:type="dxa"/>
            <w:vMerge/>
            <w:shd w:val="clear" w:color="auto" w:fill="00CC99"/>
          </w:tcPr>
          <w:p w:rsidR="00D406EA" w:rsidRPr="007656B1" w:rsidRDefault="00D406EA" w:rsidP="00D406E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00CC99"/>
          </w:tcPr>
          <w:p w:rsidR="00D406EA" w:rsidRPr="007656B1" w:rsidRDefault="00D406EA" w:rsidP="00D406EA">
            <w:pPr>
              <w:spacing w:after="120"/>
              <w:rPr>
                <w:sz w:val="28"/>
                <w:szCs w:val="28"/>
              </w:rPr>
            </w:pPr>
            <w:r w:rsidRPr="007656B1">
              <w:rPr>
                <w:sz w:val="28"/>
                <w:szCs w:val="28"/>
              </w:rPr>
              <w:t>Various (non-PAYT)</w:t>
            </w:r>
            <w:r w:rsidRPr="007656B1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240" w:type="dxa"/>
            <w:shd w:val="clear" w:color="auto" w:fill="00CC99"/>
          </w:tcPr>
          <w:p w:rsidR="00D406EA" w:rsidRPr="007656B1" w:rsidRDefault="00D406EA" w:rsidP="00D406EA">
            <w:pPr>
              <w:spacing w:after="120"/>
              <w:rPr>
                <w:sz w:val="28"/>
                <w:szCs w:val="28"/>
              </w:rPr>
            </w:pPr>
            <w:r w:rsidRPr="007656B1">
              <w:rPr>
                <w:sz w:val="28"/>
                <w:szCs w:val="28"/>
              </w:rPr>
              <w:t>Recycling</w:t>
            </w:r>
          </w:p>
        </w:tc>
      </w:tr>
      <w:tr w:rsidR="00D406EA" w:rsidTr="009154D0">
        <w:tc>
          <w:tcPr>
            <w:tcW w:w="2785" w:type="dxa"/>
            <w:vMerge/>
            <w:shd w:val="clear" w:color="auto" w:fill="00CC99"/>
          </w:tcPr>
          <w:p w:rsidR="00D406EA" w:rsidRPr="007656B1" w:rsidRDefault="00D406EA" w:rsidP="00EA1C4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00CC99"/>
          </w:tcPr>
          <w:p w:rsidR="00D406EA" w:rsidRPr="007656B1" w:rsidRDefault="00D406EA" w:rsidP="00EA1C4A">
            <w:pPr>
              <w:spacing w:after="120"/>
              <w:rPr>
                <w:sz w:val="28"/>
                <w:szCs w:val="28"/>
              </w:rPr>
            </w:pPr>
            <w:r w:rsidRPr="007656B1">
              <w:rPr>
                <w:sz w:val="28"/>
                <w:szCs w:val="28"/>
              </w:rPr>
              <w:t>Curbside Food Waste Collection</w:t>
            </w:r>
          </w:p>
        </w:tc>
        <w:tc>
          <w:tcPr>
            <w:tcW w:w="3240" w:type="dxa"/>
            <w:shd w:val="clear" w:color="auto" w:fill="00CC99"/>
          </w:tcPr>
          <w:p w:rsidR="00D406EA" w:rsidRPr="007656B1" w:rsidRDefault="00D406EA" w:rsidP="00837613">
            <w:pPr>
              <w:spacing w:after="120"/>
              <w:rPr>
                <w:sz w:val="28"/>
                <w:szCs w:val="28"/>
              </w:rPr>
            </w:pPr>
            <w:r w:rsidRPr="007656B1">
              <w:rPr>
                <w:sz w:val="28"/>
                <w:szCs w:val="28"/>
              </w:rPr>
              <w:t>Composting</w:t>
            </w:r>
          </w:p>
        </w:tc>
      </w:tr>
      <w:tr w:rsidR="00D2502F" w:rsidTr="009154D0">
        <w:tc>
          <w:tcPr>
            <w:tcW w:w="2785" w:type="dxa"/>
            <w:shd w:val="clear" w:color="auto" w:fill="9A57CD"/>
          </w:tcPr>
          <w:p w:rsidR="00D2502F" w:rsidRPr="007656B1" w:rsidRDefault="00F22E64" w:rsidP="00EA1C4A">
            <w:pPr>
              <w:spacing w:after="120"/>
              <w:rPr>
                <w:sz w:val="28"/>
                <w:szCs w:val="28"/>
              </w:rPr>
            </w:pPr>
            <w:r w:rsidRPr="007656B1">
              <w:rPr>
                <w:sz w:val="28"/>
                <w:szCs w:val="28"/>
              </w:rPr>
              <w:t>Multi-Family Homes</w:t>
            </w:r>
          </w:p>
        </w:tc>
        <w:tc>
          <w:tcPr>
            <w:tcW w:w="3060" w:type="dxa"/>
            <w:shd w:val="clear" w:color="auto" w:fill="9A57CD"/>
          </w:tcPr>
          <w:p w:rsidR="00D2502F" w:rsidRPr="007656B1" w:rsidRDefault="00F22E64" w:rsidP="00B35DDE">
            <w:pPr>
              <w:spacing w:after="120"/>
              <w:rPr>
                <w:sz w:val="28"/>
                <w:szCs w:val="28"/>
              </w:rPr>
            </w:pPr>
            <w:r w:rsidRPr="007656B1">
              <w:rPr>
                <w:sz w:val="28"/>
                <w:szCs w:val="28"/>
              </w:rPr>
              <w:t>Multi-Family Recycling</w:t>
            </w:r>
            <w:r w:rsidRPr="007656B1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240" w:type="dxa"/>
            <w:shd w:val="clear" w:color="auto" w:fill="9A57CD"/>
          </w:tcPr>
          <w:p w:rsidR="00D2502F" w:rsidRPr="007656B1" w:rsidRDefault="00F22E64" w:rsidP="00837613">
            <w:pPr>
              <w:spacing w:after="120"/>
              <w:rPr>
                <w:sz w:val="28"/>
                <w:szCs w:val="28"/>
              </w:rPr>
            </w:pPr>
            <w:r w:rsidRPr="007656B1">
              <w:rPr>
                <w:sz w:val="28"/>
                <w:szCs w:val="28"/>
              </w:rPr>
              <w:t>Recycling</w:t>
            </w:r>
          </w:p>
        </w:tc>
      </w:tr>
      <w:tr w:rsidR="00F22E64" w:rsidTr="009154D0">
        <w:trPr>
          <w:trHeight w:val="1187"/>
        </w:trPr>
        <w:tc>
          <w:tcPr>
            <w:tcW w:w="2785" w:type="dxa"/>
            <w:shd w:val="clear" w:color="auto" w:fill="9CC2E5" w:themeFill="accent1" w:themeFillTint="99"/>
          </w:tcPr>
          <w:p w:rsidR="00F22E64" w:rsidRPr="007656B1" w:rsidRDefault="00837613" w:rsidP="007656B1">
            <w:pPr>
              <w:rPr>
                <w:sz w:val="28"/>
                <w:szCs w:val="28"/>
              </w:rPr>
            </w:pPr>
            <w:r w:rsidRPr="007656B1">
              <w:rPr>
                <w:sz w:val="28"/>
                <w:szCs w:val="28"/>
              </w:rPr>
              <w:t>Commercial</w:t>
            </w:r>
            <w:r w:rsidR="007656B1" w:rsidRPr="007656B1">
              <w:rPr>
                <w:sz w:val="28"/>
                <w:szCs w:val="28"/>
                <w:vertAlign w:val="superscript"/>
              </w:rPr>
              <w:t>3</w:t>
            </w:r>
            <w:r w:rsidRPr="007656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shd w:val="clear" w:color="auto" w:fill="9CC2E5" w:themeFill="accent1" w:themeFillTint="99"/>
          </w:tcPr>
          <w:p w:rsidR="00F22E64" w:rsidRPr="007656B1" w:rsidRDefault="00837613" w:rsidP="00837613">
            <w:pPr>
              <w:rPr>
                <w:sz w:val="28"/>
                <w:szCs w:val="28"/>
              </w:rPr>
            </w:pPr>
            <w:r w:rsidRPr="007656B1">
              <w:rPr>
                <w:sz w:val="28"/>
                <w:szCs w:val="28"/>
              </w:rPr>
              <w:t>Various (specific examples provided in the spreadsheet)</w:t>
            </w:r>
            <w:r w:rsidR="009420F7" w:rsidRPr="009420F7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240" w:type="dxa"/>
            <w:shd w:val="clear" w:color="auto" w:fill="9CC2E5" w:themeFill="accent1" w:themeFillTint="99"/>
          </w:tcPr>
          <w:p w:rsidR="00F22E64" w:rsidRPr="007656B1" w:rsidRDefault="00837613" w:rsidP="00837613">
            <w:pPr>
              <w:rPr>
                <w:sz w:val="28"/>
                <w:szCs w:val="28"/>
              </w:rPr>
            </w:pPr>
            <w:r w:rsidRPr="007656B1">
              <w:rPr>
                <w:sz w:val="28"/>
                <w:szCs w:val="28"/>
              </w:rPr>
              <w:t>Recycling</w:t>
            </w:r>
          </w:p>
          <w:p w:rsidR="00837613" w:rsidRPr="007656B1" w:rsidRDefault="00837613" w:rsidP="00837613">
            <w:pPr>
              <w:rPr>
                <w:sz w:val="28"/>
                <w:szCs w:val="28"/>
              </w:rPr>
            </w:pPr>
            <w:r w:rsidRPr="007656B1">
              <w:rPr>
                <w:sz w:val="28"/>
                <w:szCs w:val="28"/>
              </w:rPr>
              <w:t>Composting</w:t>
            </w:r>
          </w:p>
        </w:tc>
      </w:tr>
      <w:tr w:rsidR="00F22E64" w:rsidTr="009154D0">
        <w:trPr>
          <w:trHeight w:val="818"/>
        </w:trPr>
        <w:tc>
          <w:tcPr>
            <w:tcW w:w="2785" w:type="dxa"/>
            <w:shd w:val="clear" w:color="auto" w:fill="FF5B5B"/>
          </w:tcPr>
          <w:p w:rsidR="00F22E64" w:rsidRPr="007656B1" w:rsidRDefault="00837613" w:rsidP="00837613">
            <w:pPr>
              <w:rPr>
                <w:sz w:val="28"/>
                <w:szCs w:val="28"/>
              </w:rPr>
            </w:pPr>
            <w:r w:rsidRPr="007656B1">
              <w:rPr>
                <w:sz w:val="28"/>
                <w:szCs w:val="28"/>
              </w:rPr>
              <w:t>Construction and Demolition</w:t>
            </w:r>
          </w:p>
        </w:tc>
        <w:tc>
          <w:tcPr>
            <w:tcW w:w="3060" w:type="dxa"/>
            <w:shd w:val="clear" w:color="auto" w:fill="FF5B5B"/>
          </w:tcPr>
          <w:p w:rsidR="00F22E64" w:rsidRPr="007656B1" w:rsidRDefault="00837613" w:rsidP="009420F7">
            <w:pPr>
              <w:rPr>
                <w:sz w:val="28"/>
                <w:szCs w:val="28"/>
              </w:rPr>
            </w:pPr>
            <w:r w:rsidRPr="007656B1">
              <w:rPr>
                <w:sz w:val="28"/>
                <w:szCs w:val="28"/>
              </w:rPr>
              <w:t xml:space="preserve">C&amp;D </w:t>
            </w:r>
            <w:r w:rsidR="00E57299" w:rsidRPr="007656B1">
              <w:rPr>
                <w:sz w:val="28"/>
                <w:szCs w:val="28"/>
              </w:rPr>
              <w:t>requirements</w:t>
            </w:r>
            <w:r w:rsidR="009420F7" w:rsidRPr="009420F7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3240" w:type="dxa"/>
            <w:shd w:val="clear" w:color="auto" w:fill="FF5B5B"/>
          </w:tcPr>
          <w:p w:rsidR="00F22E64" w:rsidRPr="007656B1" w:rsidRDefault="00837613" w:rsidP="00837613">
            <w:pPr>
              <w:rPr>
                <w:sz w:val="28"/>
                <w:szCs w:val="28"/>
              </w:rPr>
            </w:pPr>
            <w:r w:rsidRPr="007656B1">
              <w:rPr>
                <w:sz w:val="28"/>
                <w:szCs w:val="28"/>
              </w:rPr>
              <w:t>Recycling/Reuse</w:t>
            </w:r>
          </w:p>
        </w:tc>
      </w:tr>
    </w:tbl>
    <w:p w:rsidR="00D2502F" w:rsidRPr="009420F7" w:rsidRDefault="00D406EA" w:rsidP="009420F7">
      <w:pPr>
        <w:spacing w:before="240" w:after="120"/>
        <w:ind w:left="180" w:hanging="180"/>
        <w:rPr>
          <w:sz w:val="24"/>
          <w:szCs w:val="24"/>
        </w:rPr>
      </w:pPr>
      <w:r w:rsidRPr="009420F7">
        <w:rPr>
          <w:sz w:val="24"/>
          <w:szCs w:val="24"/>
        </w:rPr>
        <w:t xml:space="preserve">1 Enables user to estimate a percentage increase in recycling across material types or for individual materials (metal, </w:t>
      </w:r>
      <w:r w:rsidR="00EE4D0A" w:rsidRPr="009420F7">
        <w:rPr>
          <w:sz w:val="24"/>
          <w:szCs w:val="24"/>
        </w:rPr>
        <w:t xml:space="preserve">glass, plastic, paper, </w:t>
      </w:r>
      <w:r w:rsidRPr="009420F7">
        <w:rPr>
          <w:sz w:val="24"/>
          <w:szCs w:val="24"/>
        </w:rPr>
        <w:t>wood) from implementing a policy or program</w:t>
      </w:r>
    </w:p>
    <w:p w:rsidR="00F22E64" w:rsidRPr="009420F7" w:rsidRDefault="00F22E64" w:rsidP="009420F7">
      <w:pPr>
        <w:spacing w:after="120"/>
        <w:ind w:left="180" w:hanging="180"/>
        <w:rPr>
          <w:sz w:val="24"/>
          <w:szCs w:val="24"/>
        </w:rPr>
      </w:pPr>
      <w:r w:rsidRPr="009420F7">
        <w:rPr>
          <w:sz w:val="24"/>
          <w:szCs w:val="24"/>
        </w:rPr>
        <w:t>2</w:t>
      </w:r>
      <w:r w:rsidR="00837613" w:rsidRPr="009420F7">
        <w:rPr>
          <w:sz w:val="24"/>
          <w:szCs w:val="24"/>
        </w:rPr>
        <w:t xml:space="preserve"> While the spreadsheet</w:t>
      </w:r>
      <w:r w:rsidRPr="009420F7">
        <w:rPr>
          <w:sz w:val="24"/>
          <w:szCs w:val="24"/>
        </w:rPr>
        <w:t xml:space="preserve"> does not include a scenario for composting food waste from multi-family homes, it’s pos</w:t>
      </w:r>
      <w:r w:rsidR="000776E2" w:rsidRPr="009420F7">
        <w:rPr>
          <w:sz w:val="24"/>
          <w:szCs w:val="24"/>
        </w:rPr>
        <w:t>sible to conduct a separate scenario</w:t>
      </w:r>
      <w:r w:rsidRPr="009420F7">
        <w:rPr>
          <w:sz w:val="24"/>
          <w:szCs w:val="24"/>
        </w:rPr>
        <w:t xml:space="preserve"> in which the Single-Family Home waste characterization table is used for Multi-Family Home data (see pg. 4 of the Quick Tips for GHG </w:t>
      </w:r>
      <w:proofErr w:type="spellStart"/>
      <w:r w:rsidRPr="009420F7">
        <w:rPr>
          <w:sz w:val="24"/>
          <w:szCs w:val="24"/>
        </w:rPr>
        <w:t>Calculator_Entering</w:t>
      </w:r>
      <w:proofErr w:type="spellEnd"/>
      <w:r w:rsidRPr="009420F7">
        <w:rPr>
          <w:sz w:val="24"/>
          <w:szCs w:val="24"/>
        </w:rPr>
        <w:t xml:space="preserve"> Data).</w:t>
      </w:r>
    </w:p>
    <w:p w:rsidR="007656B1" w:rsidRPr="009420F7" w:rsidRDefault="007656B1" w:rsidP="009420F7">
      <w:pPr>
        <w:spacing w:after="120"/>
        <w:ind w:left="180" w:hanging="180"/>
        <w:rPr>
          <w:sz w:val="24"/>
          <w:szCs w:val="24"/>
        </w:rPr>
      </w:pPr>
      <w:r w:rsidRPr="009420F7">
        <w:rPr>
          <w:sz w:val="24"/>
          <w:szCs w:val="24"/>
        </w:rPr>
        <w:t>3 Businesses, as well as institutions if policy/program implementation scenarios would equally apply to institutions (e.g., universities, schools, non-profit organizations)</w:t>
      </w:r>
    </w:p>
    <w:p w:rsidR="009420F7" w:rsidRPr="009420F7" w:rsidRDefault="007656B1" w:rsidP="009420F7">
      <w:pPr>
        <w:spacing w:after="120"/>
        <w:ind w:left="180" w:hanging="180"/>
        <w:rPr>
          <w:sz w:val="24"/>
          <w:szCs w:val="24"/>
        </w:rPr>
      </w:pPr>
      <w:r w:rsidRPr="009420F7">
        <w:rPr>
          <w:sz w:val="24"/>
          <w:szCs w:val="24"/>
        </w:rPr>
        <w:t>4</w:t>
      </w:r>
      <w:r w:rsidR="00837613" w:rsidRPr="009420F7">
        <w:rPr>
          <w:sz w:val="24"/>
          <w:szCs w:val="24"/>
        </w:rPr>
        <w:t xml:space="preserve"> </w:t>
      </w:r>
      <w:r w:rsidR="009420F7" w:rsidRPr="009420F7">
        <w:rPr>
          <w:sz w:val="24"/>
          <w:szCs w:val="24"/>
        </w:rPr>
        <w:t>Enables user to estimate a percentage increase in recycling or composting across material types or for individual materials (metal, glass, plastic, paper, wood, yard trimmings, food waste) from implementing a policy or program</w:t>
      </w:r>
    </w:p>
    <w:p w:rsidR="00837613" w:rsidRPr="007656B1" w:rsidRDefault="009420F7" w:rsidP="009420F7">
      <w:pPr>
        <w:spacing w:after="120"/>
        <w:ind w:left="180" w:hanging="180"/>
        <w:rPr>
          <w:sz w:val="24"/>
          <w:szCs w:val="24"/>
        </w:rPr>
      </w:pPr>
      <w:r w:rsidRPr="009420F7">
        <w:rPr>
          <w:sz w:val="24"/>
          <w:szCs w:val="24"/>
        </w:rPr>
        <w:t xml:space="preserve">5 </w:t>
      </w:r>
      <w:r w:rsidR="00E57299" w:rsidRPr="009420F7">
        <w:rPr>
          <w:sz w:val="24"/>
          <w:szCs w:val="24"/>
        </w:rPr>
        <w:t xml:space="preserve">Requirements could be in the form of an ordinance, e.g., setting a diversion rate target or a refundable deposit program.  The user has the flexibility to set an average diversion rate target </w:t>
      </w:r>
      <w:r w:rsidR="00E57299" w:rsidRPr="007656B1">
        <w:rPr>
          <w:sz w:val="24"/>
          <w:szCs w:val="24"/>
        </w:rPr>
        <w:t>across material types or to set recycling/reuse targets for individual material types.</w:t>
      </w:r>
    </w:p>
    <w:p w:rsidR="00EA1C4A" w:rsidRPr="00EF580E" w:rsidRDefault="00B35DDE" w:rsidP="00EA1C4A">
      <w:pPr>
        <w:spacing w:after="120"/>
        <w:rPr>
          <w:sz w:val="32"/>
          <w:szCs w:val="32"/>
        </w:rPr>
      </w:pPr>
      <w:r>
        <w:rPr>
          <w:b/>
          <w:color w:val="00C400"/>
          <w:sz w:val="32"/>
          <w:szCs w:val="32"/>
          <w:u w:val="single"/>
        </w:rPr>
        <w:lastRenderedPageBreak/>
        <w:t>How Do I Run</w:t>
      </w:r>
      <w:r w:rsidR="00EA1C4A" w:rsidRPr="00EF580E">
        <w:rPr>
          <w:b/>
          <w:color w:val="00C400"/>
          <w:sz w:val="32"/>
          <w:szCs w:val="32"/>
          <w:u w:val="single"/>
        </w:rPr>
        <w:t xml:space="preserve"> Policy &amp; Program Implementation Scenarios</w:t>
      </w:r>
      <w:r>
        <w:rPr>
          <w:b/>
          <w:color w:val="00C400"/>
          <w:sz w:val="32"/>
          <w:szCs w:val="32"/>
          <w:u w:val="single"/>
        </w:rPr>
        <w:t>?</w:t>
      </w:r>
    </w:p>
    <w:p w:rsidR="00B35DDE" w:rsidRDefault="00EA1C4A" w:rsidP="003A6974">
      <w:pPr>
        <w:pStyle w:val="ListParagraph"/>
        <w:numPr>
          <w:ilvl w:val="0"/>
          <w:numId w:val="1"/>
        </w:numPr>
        <w:spacing w:afterLines="120" w:after="288"/>
        <w:contextualSpacing w:val="0"/>
        <w:rPr>
          <w:sz w:val="24"/>
          <w:szCs w:val="24"/>
        </w:rPr>
      </w:pPr>
      <w:r w:rsidRPr="00EB08E1">
        <w:rPr>
          <w:sz w:val="24"/>
          <w:szCs w:val="24"/>
        </w:rPr>
        <w:t>Once you have entered estimates for base year tonnage</w:t>
      </w:r>
      <w:r>
        <w:rPr>
          <w:sz w:val="24"/>
          <w:szCs w:val="24"/>
        </w:rPr>
        <w:t xml:space="preserve"> on the Basic Information and Waste Characterization tabs</w:t>
      </w:r>
      <w:r w:rsidRPr="00EB08E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proceed to </w:t>
      </w:r>
      <w:r w:rsidRPr="00EB08E1">
        <w:rPr>
          <w:sz w:val="24"/>
          <w:szCs w:val="24"/>
        </w:rPr>
        <w:t>subsequent tabs</w:t>
      </w:r>
      <w:r w:rsidR="00B35DDE">
        <w:rPr>
          <w:sz w:val="24"/>
          <w:szCs w:val="24"/>
        </w:rPr>
        <w:t xml:space="preserve"> (labelled “Step 2” at the top left) </w:t>
      </w:r>
      <w:r w:rsidR="00BC241D">
        <w:rPr>
          <w:sz w:val="24"/>
          <w:szCs w:val="24"/>
        </w:rPr>
        <w:t>- these</w:t>
      </w:r>
      <w:r w:rsidR="00B35DDE">
        <w:rPr>
          <w:sz w:val="24"/>
          <w:szCs w:val="24"/>
        </w:rPr>
        <w:t xml:space="preserve"> are the policy &amp; program tabs.</w:t>
      </w:r>
    </w:p>
    <w:p w:rsidR="00B35DDE" w:rsidRDefault="00B35DDE" w:rsidP="003A6974">
      <w:pPr>
        <w:pStyle w:val="ListParagraph"/>
        <w:numPr>
          <w:ilvl w:val="0"/>
          <w:numId w:val="1"/>
        </w:numPr>
        <w:spacing w:afterLines="120" w:after="288"/>
        <w:contextualSpacing w:val="0"/>
        <w:rPr>
          <w:sz w:val="24"/>
          <w:szCs w:val="24"/>
        </w:rPr>
      </w:pPr>
      <w:r>
        <w:rPr>
          <w:sz w:val="24"/>
          <w:szCs w:val="24"/>
        </w:rPr>
        <w:t>Identify the tabs for which you would like to run policy &amp; program implementation scenarios.  There ar</w:t>
      </w:r>
      <w:r w:rsidR="00BC241D">
        <w:rPr>
          <w:sz w:val="24"/>
          <w:szCs w:val="24"/>
        </w:rPr>
        <w:t>e 6 policy/program tabs total; you</w:t>
      </w:r>
      <w:r>
        <w:rPr>
          <w:sz w:val="24"/>
          <w:szCs w:val="24"/>
        </w:rPr>
        <w:t xml:space="preserve"> </w:t>
      </w:r>
      <w:r w:rsidR="00BC241D">
        <w:rPr>
          <w:sz w:val="24"/>
          <w:szCs w:val="24"/>
        </w:rPr>
        <w:t>can use one or all six tabs.</w:t>
      </w:r>
    </w:p>
    <w:p w:rsidR="00B35DDE" w:rsidRDefault="00B35DDE" w:rsidP="003A6974">
      <w:pPr>
        <w:pStyle w:val="ListParagraph"/>
        <w:numPr>
          <w:ilvl w:val="0"/>
          <w:numId w:val="1"/>
        </w:numPr>
        <w:spacing w:afterLines="50"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Each policy/program tab has </w:t>
      </w:r>
      <w:r w:rsidRPr="003A6974">
        <w:rPr>
          <w:sz w:val="24"/>
          <w:szCs w:val="24"/>
          <w:bdr w:val="single" w:sz="8" w:space="0" w:color="auto"/>
          <w:shd w:val="clear" w:color="auto" w:fill="FFFF00"/>
        </w:rPr>
        <w:t>yellow cells</w:t>
      </w:r>
      <w:r w:rsidR="003A6974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enter</w:t>
      </w:r>
      <w:r w:rsidR="003A6974">
        <w:rPr>
          <w:sz w:val="24"/>
          <w:szCs w:val="24"/>
        </w:rPr>
        <w:t>ing</w:t>
      </w:r>
      <w:r>
        <w:rPr>
          <w:sz w:val="24"/>
          <w:szCs w:val="24"/>
        </w:rPr>
        <w:t xml:space="preserve"> assumption</w:t>
      </w:r>
      <w:r w:rsidR="003A6974">
        <w:rPr>
          <w:sz w:val="24"/>
          <w:szCs w:val="24"/>
        </w:rPr>
        <w:t>s</w:t>
      </w:r>
      <w:r>
        <w:rPr>
          <w:sz w:val="24"/>
          <w:szCs w:val="24"/>
        </w:rPr>
        <w:t xml:space="preserve"> for </w:t>
      </w:r>
      <w:r w:rsidR="00907A27">
        <w:rPr>
          <w:sz w:val="24"/>
          <w:szCs w:val="24"/>
        </w:rPr>
        <w:t>increased</w:t>
      </w:r>
      <w:r>
        <w:rPr>
          <w:sz w:val="24"/>
          <w:szCs w:val="24"/>
        </w:rPr>
        <w:t xml:space="preserve"> diversion.</w:t>
      </w:r>
      <w:r w:rsidR="00907A27">
        <w:rPr>
          <w:sz w:val="24"/>
          <w:szCs w:val="24"/>
        </w:rPr>
        <w:t xml:space="preserve">  Guidelines are provided on each tab to help you select appropriate values</w:t>
      </w:r>
      <w:r w:rsidR="003A6974">
        <w:rPr>
          <w:sz w:val="24"/>
          <w:szCs w:val="24"/>
        </w:rPr>
        <w:t xml:space="preserve"> based on available studies or examples from select communities</w:t>
      </w:r>
      <w:r w:rsidR="00907A27">
        <w:rPr>
          <w:sz w:val="24"/>
          <w:szCs w:val="24"/>
        </w:rPr>
        <w:t>.</w:t>
      </w:r>
    </w:p>
    <w:p w:rsidR="00B35DDE" w:rsidRDefault="00B35DDE" w:rsidP="003A6974">
      <w:pPr>
        <w:pStyle w:val="ListParagraph"/>
        <w:numPr>
          <w:ilvl w:val="1"/>
          <w:numId w:val="1"/>
        </w:numPr>
        <w:spacing w:afterLines="50"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0456A7">
        <w:rPr>
          <w:sz w:val="24"/>
          <w:szCs w:val="24"/>
        </w:rPr>
        <w:t xml:space="preserve">the </w:t>
      </w:r>
      <w:r w:rsidR="000456A7" w:rsidRPr="003A6974">
        <w:rPr>
          <w:b/>
          <w:sz w:val="24"/>
          <w:szCs w:val="24"/>
        </w:rPr>
        <w:t>PAYT, Recycling (Other), Food Waste Collection, and Commercial Diversion</w:t>
      </w:r>
      <w:r w:rsidR="000456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tabs, enter an estimate for </w:t>
      </w:r>
      <w:r w:rsidRPr="003A6974">
        <w:rPr>
          <w:sz w:val="24"/>
          <w:szCs w:val="24"/>
          <w:u w:val="single"/>
        </w:rPr>
        <w:t xml:space="preserve">percentage increase in recycling </w:t>
      </w:r>
      <w:r w:rsidR="00907A27" w:rsidRPr="003A6974">
        <w:rPr>
          <w:sz w:val="24"/>
          <w:szCs w:val="24"/>
          <w:u w:val="single"/>
        </w:rPr>
        <w:t>and/</w:t>
      </w:r>
      <w:r w:rsidRPr="003A6974">
        <w:rPr>
          <w:sz w:val="24"/>
          <w:szCs w:val="24"/>
          <w:u w:val="single"/>
        </w:rPr>
        <w:t>or composting</w:t>
      </w:r>
    </w:p>
    <w:p w:rsidR="00B35DDE" w:rsidRDefault="00B35DDE" w:rsidP="003A6974">
      <w:pPr>
        <w:pStyle w:val="ListParagraph"/>
        <w:numPr>
          <w:ilvl w:val="1"/>
          <w:numId w:val="1"/>
        </w:numPr>
        <w:spacing w:afterLines="50"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On the </w:t>
      </w:r>
      <w:r w:rsidRPr="003A6974">
        <w:rPr>
          <w:b/>
          <w:sz w:val="24"/>
          <w:szCs w:val="24"/>
        </w:rPr>
        <w:t>Multi-Family Recycling</w:t>
      </w:r>
      <w:r>
        <w:rPr>
          <w:sz w:val="24"/>
          <w:szCs w:val="24"/>
        </w:rPr>
        <w:t xml:space="preserve"> </w:t>
      </w:r>
      <w:r w:rsidR="000456A7">
        <w:rPr>
          <w:sz w:val="24"/>
          <w:szCs w:val="24"/>
        </w:rPr>
        <w:t xml:space="preserve">tab, enter an estimate for a </w:t>
      </w:r>
      <w:r w:rsidR="000456A7" w:rsidRPr="000220AB">
        <w:rPr>
          <w:sz w:val="24"/>
          <w:szCs w:val="24"/>
          <w:u w:val="single"/>
        </w:rPr>
        <w:t>target recycling rate</w:t>
      </w:r>
      <w:r w:rsidR="000456A7">
        <w:rPr>
          <w:sz w:val="24"/>
          <w:szCs w:val="24"/>
        </w:rPr>
        <w:t xml:space="preserve"> percentage following program implementation</w:t>
      </w:r>
    </w:p>
    <w:p w:rsidR="000456A7" w:rsidRDefault="000456A7" w:rsidP="003A6974">
      <w:pPr>
        <w:pStyle w:val="ListParagraph"/>
        <w:numPr>
          <w:ilvl w:val="1"/>
          <w:numId w:val="1"/>
        </w:numPr>
        <w:spacing w:afterLines="150" w:after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On the </w:t>
      </w:r>
      <w:r w:rsidRPr="000220AB">
        <w:rPr>
          <w:b/>
          <w:sz w:val="24"/>
          <w:szCs w:val="24"/>
        </w:rPr>
        <w:t>C&amp;D Recycling</w:t>
      </w:r>
      <w:r>
        <w:rPr>
          <w:sz w:val="24"/>
          <w:szCs w:val="24"/>
        </w:rPr>
        <w:t xml:space="preserve"> tab, you may enter an estimate for </w:t>
      </w:r>
      <w:r w:rsidRPr="000220AB">
        <w:rPr>
          <w:sz w:val="24"/>
          <w:szCs w:val="24"/>
          <w:u w:val="single"/>
        </w:rPr>
        <w:t>average diversion rate across materials</w:t>
      </w:r>
      <w:r w:rsidR="000220AB">
        <w:rPr>
          <w:sz w:val="24"/>
          <w:szCs w:val="24"/>
        </w:rPr>
        <w:t xml:space="preserve"> OR enter </w:t>
      </w:r>
      <w:r w:rsidRPr="000220AB">
        <w:rPr>
          <w:sz w:val="24"/>
          <w:szCs w:val="24"/>
          <w:u w:val="single"/>
        </w:rPr>
        <w:t>target recycling/reuse rates for individual materials</w:t>
      </w:r>
      <w:r>
        <w:rPr>
          <w:sz w:val="24"/>
          <w:szCs w:val="24"/>
        </w:rPr>
        <w:t>; if you enter an average diversion rate, you may adjust recycling/reuse percentages for individual materials</w:t>
      </w:r>
      <w:r w:rsidR="000220AB">
        <w:rPr>
          <w:sz w:val="24"/>
          <w:szCs w:val="24"/>
        </w:rPr>
        <w:t>.  The</w:t>
      </w:r>
      <w:r>
        <w:rPr>
          <w:sz w:val="24"/>
          <w:szCs w:val="24"/>
        </w:rPr>
        <w:t xml:space="preserve"> adjusted average diversion rate across materials will be displayed in cell K62</w:t>
      </w:r>
    </w:p>
    <w:p w:rsidR="00EA1C4A" w:rsidRPr="00907A27" w:rsidRDefault="00EA1C4A" w:rsidP="00D47B5F">
      <w:pPr>
        <w:pStyle w:val="ListParagraph"/>
        <w:numPr>
          <w:ilvl w:val="0"/>
          <w:numId w:val="1"/>
        </w:numPr>
        <w:spacing w:afterLines="50" w:after="120"/>
        <w:contextualSpacing w:val="0"/>
        <w:rPr>
          <w:sz w:val="24"/>
          <w:szCs w:val="24"/>
        </w:rPr>
      </w:pPr>
      <w:r w:rsidRPr="00907A27">
        <w:rPr>
          <w:b/>
          <w:sz w:val="24"/>
          <w:szCs w:val="24"/>
        </w:rPr>
        <w:t>Sensitivity Analysis</w:t>
      </w:r>
      <w:r w:rsidRPr="00907A27">
        <w:rPr>
          <w:sz w:val="24"/>
          <w:szCs w:val="24"/>
        </w:rPr>
        <w:t xml:space="preserve"> -- It’s easy to test the effect that different assumptions for program/policy implementation have on calculated results </w:t>
      </w:r>
      <w:r w:rsidR="006D10B2">
        <w:rPr>
          <w:sz w:val="24"/>
          <w:szCs w:val="24"/>
        </w:rPr>
        <w:t xml:space="preserve">- simply change </w:t>
      </w:r>
      <w:r w:rsidRPr="00907A27">
        <w:rPr>
          <w:sz w:val="24"/>
          <w:szCs w:val="24"/>
        </w:rPr>
        <w:t>value</w:t>
      </w:r>
      <w:r w:rsidR="006D10B2">
        <w:rPr>
          <w:sz w:val="24"/>
          <w:szCs w:val="24"/>
        </w:rPr>
        <w:t xml:space="preserve">s </w:t>
      </w:r>
      <w:r w:rsidR="003A6974">
        <w:rPr>
          <w:sz w:val="24"/>
          <w:szCs w:val="24"/>
        </w:rPr>
        <w:t>entered</w:t>
      </w:r>
      <w:r w:rsidRPr="00907A27">
        <w:rPr>
          <w:sz w:val="24"/>
          <w:szCs w:val="24"/>
        </w:rPr>
        <w:t xml:space="preserve"> on policy &amp; program tab</w:t>
      </w:r>
      <w:r w:rsidR="006D10B2">
        <w:rPr>
          <w:sz w:val="24"/>
          <w:szCs w:val="24"/>
        </w:rPr>
        <w:t xml:space="preserve">s and go back to the </w:t>
      </w:r>
      <w:r w:rsidR="006D10B2" w:rsidRPr="00916A2C">
        <w:rPr>
          <w:sz w:val="24"/>
          <w:szCs w:val="24"/>
          <w:bdr w:val="single" w:sz="4" w:space="0" w:color="auto"/>
          <w:shd w:val="clear" w:color="auto" w:fill="00FFFF"/>
        </w:rPr>
        <w:t>Results</w:t>
      </w:r>
      <w:r w:rsidR="006D10B2">
        <w:rPr>
          <w:sz w:val="24"/>
          <w:szCs w:val="24"/>
        </w:rPr>
        <w:t xml:space="preserve"> tab to see how this affects the </w:t>
      </w:r>
      <w:r w:rsidR="004915AA">
        <w:rPr>
          <w:sz w:val="24"/>
          <w:szCs w:val="24"/>
        </w:rPr>
        <w:t xml:space="preserve">estimated </w:t>
      </w:r>
      <w:r w:rsidR="006D10B2">
        <w:rPr>
          <w:sz w:val="24"/>
          <w:szCs w:val="24"/>
        </w:rPr>
        <w:t>tonnage and GHG reductions</w:t>
      </w:r>
      <w:r w:rsidR="003A6974">
        <w:rPr>
          <w:sz w:val="24"/>
          <w:szCs w:val="24"/>
        </w:rPr>
        <w:br/>
      </w:r>
      <w:r w:rsidR="003A6974">
        <w:rPr>
          <w:sz w:val="24"/>
          <w:szCs w:val="24"/>
        </w:rPr>
        <w:br/>
      </w:r>
      <w:r w:rsidR="00884AED">
        <w:rPr>
          <w:b/>
          <w:sz w:val="24"/>
          <w:szCs w:val="24"/>
          <w:u w:val="single"/>
        </w:rPr>
        <w:t>*</w:t>
      </w:r>
      <w:r w:rsidR="003A6974" w:rsidRPr="003A6974">
        <w:rPr>
          <w:b/>
          <w:sz w:val="24"/>
          <w:szCs w:val="24"/>
          <w:u w:val="single"/>
        </w:rPr>
        <w:t>Important Note</w:t>
      </w:r>
    </w:p>
    <w:p w:rsidR="00EA1C4A" w:rsidRPr="0085507C" w:rsidRDefault="00EA1C4A" w:rsidP="00D47B5F">
      <w:pPr>
        <w:pStyle w:val="ListParagraph"/>
        <w:spacing w:afterLines="120" w:after="288"/>
        <w:contextualSpacing w:val="0"/>
        <w:rPr>
          <w:rFonts w:cstheme="minorHAnsi"/>
          <w:sz w:val="24"/>
          <w:szCs w:val="24"/>
        </w:rPr>
      </w:pPr>
      <w:r>
        <w:rPr>
          <w:sz w:val="24"/>
          <w:szCs w:val="24"/>
        </w:rPr>
        <w:t>I</w:t>
      </w:r>
      <w:r w:rsidRPr="0085507C">
        <w:rPr>
          <w:sz w:val="24"/>
          <w:szCs w:val="24"/>
        </w:rPr>
        <w:t>n some</w:t>
      </w:r>
      <w:r>
        <w:rPr>
          <w:sz w:val="24"/>
          <w:szCs w:val="24"/>
        </w:rPr>
        <w:t xml:space="preserve"> cases you may</w:t>
      </w:r>
      <w:r w:rsidRPr="0085507C">
        <w:rPr>
          <w:sz w:val="24"/>
          <w:szCs w:val="24"/>
        </w:rPr>
        <w:t xml:space="preserve"> be entering or selecting an estimate for an </w:t>
      </w:r>
      <w:r w:rsidRPr="0085507C">
        <w:rPr>
          <w:sz w:val="24"/>
          <w:szCs w:val="24"/>
          <w:u w:val="single"/>
        </w:rPr>
        <w:t>overall</w:t>
      </w:r>
      <w:r w:rsidRPr="0085507C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 w:rsidRPr="0085507C">
        <w:rPr>
          <w:sz w:val="24"/>
          <w:szCs w:val="24"/>
        </w:rPr>
        <w:t xml:space="preserve"> increase in recycling across material types (metal, plastic, paper, etc).  </w:t>
      </w:r>
      <w:r w:rsidRPr="0085507C">
        <w:rPr>
          <w:rFonts w:cstheme="minorHAnsi"/>
          <w:sz w:val="24"/>
          <w:szCs w:val="24"/>
        </w:rPr>
        <w:t>The calculator</w:t>
      </w:r>
      <w:r>
        <w:rPr>
          <w:rFonts w:cstheme="minorHAnsi"/>
          <w:sz w:val="24"/>
          <w:szCs w:val="24"/>
        </w:rPr>
        <w:t xml:space="preserve"> distributes</w:t>
      </w:r>
      <w:r w:rsidRPr="0085507C">
        <w:rPr>
          <w:rFonts w:cstheme="minorHAnsi"/>
          <w:sz w:val="24"/>
          <w:szCs w:val="24"/>
        </w:rPr>
        <w:t xml:space="preserve"> this increase proportionate</w:t>
      </w:r>
      <w:r>
        <w:rPr>
          <w:rFonts w:cstheme="minorHAnsi"/>
          <w:sz w:val="24"/>
          <w:szCs w:val="24"/>
        </w:rPr>
        <w:t>ly across material types</w:t>
      </w:r>
      <w:r w:rsidRPr="0085507C">
        <w:rPr>
          <w:rFonts w:cstheme="minorHAnsi"/>
          <w:sz w:val="24"/>
          <w:szCs w:val="24"/>
        </w:rPr>
        <w:t xml:space="preserve"> based on each material’s percentage contribution to the waste stream. </w:t>
      </w:r>
    </w:p>
    <w:p w:rsidR="00EA1C4A" w:rsidRDefault="00EA1C4A" w:rsidP="003A6974">
      <w:pPr>
        <w:pStyle w:val="ListParagraph"/>
        <w:numPr>
          <w:ilvl w:val="1"/>
          <w:numId w:val="1"/>
        </w:numPr>
        <w:spacing w:afterLines="120" w:after="288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distributing the increase proportionately across material types would artificially raise the recycling rate for any individual material over 100%, the calculator automatically distributes the excess to other material types.  </w:t>
      </w:r>
      <w:r w:rsidRPr="00EB08E1">
        <w:rPr>
          <w:rFonts w:cstheme="minorHAnsi"/>
          <w:sz w:val="24"/>
          <w:szCs w:val="24"/>
        </w:rPr>
        <w:t>If the % increase</w:t>
      </w:r>
      <w:r>
        <w:rPr>
          <w:rFonts w:cstheme="minorHAnsi"/>
          <w:sz w:val="24"/>
          <w:szCs w:val="24"/>
        </w:rPr>
        <w:t xml:space="preserve"> in recycling</w:t>
      </w:r>
      <w:r w:rsidRPr="00EB08E1">
        <w:rPr>
          <w:rFonts w:cstheme="minorHAnsi"/>
          <w:sz w:val="24"/>
          <w:szCs w:val="24"/>
        </w:rPr>
        <w:t xml:space="preserve"> entered is high enough to exceed 100% recycling across </w:t>
      </w:r>
      <w:r w:rsidRPr="00EB08E1">
        <w:rPr>
          <w:rFonts w:cstheme="minorHAnsi"/>
          <w:sz w:val="24"/>
          <w:szCs w:val="24"/>
          <w:u w:val="single"/>
        </w:rPr>
        <w:t>all</w:t>
      </w:r>
      <w:r>
        <w:rPr>
          <w:rFonts w:cstheme="minorHAnsi"/>
          <w:sz w:val="24"/>
          <w:szCs w:val="24"/>
        </w:rPr>
        <w:t xml:space="preserve"> material types</w:t>
      </w:r>
      <w:r w:rsidRPr="00EB08E1">
        <w:rPr>
          <w:rFonts w:cstheme="minorHAnsi"/>
          <w:sz w:val="24"/>
          <w:szCs w:val="24"/>
        </w:rPr>
        <w:t>, this generates an error message</w:t>
      </w:r>
      <w:r>
        <w:rPr>
          <w:rFonts w:cstheme="minorHAnsi"/>
          <w:sz w:val="24"/>
          <w:szCs w:val="24"/>
        </w:rPr>
        <w:t xml:space="preserve"> noting the mathematical discrepancy</w:t>
      </w:r>
      <w:r w:rsidRPr="00EB08E1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On some tabs, you may adjust percentages by material type for the projected increase in recycling or composting.</w:t>
      </w:r>
    </w:p>
    <w:p w:rsidR="00EA1C4A" w:rsidRDefault="00EA1C4A" w:rsidP="003A6974">
      <w:pPr>
        <w:pStyle w:val="ListParagraph"/>
        <w:spacing w:afterLines="120" w:after="288"/>
        <w:ind w:left="1440"/>
        <w:contextualSpacing w:val="0"/>
        <w:rPr>
          <w:rFonts w:cstheme="minorHAnsi"/>
          <w:sz w:val="24"/>
          <w:szCs w:val="24"/>
        </w:rPr>
      </w:pPr>
    </w:p>
    <w:p w:rsidR="00EA1C4A" w:rsidRDefault="00EA1C4A" w:rsidP="003A6974">
      <w:pPr>
        <w:pStyle w:val="ListParagraph"/>
        <w:numPr>
          <w:ilvl w:val="0"/>
          <w:numId w:val="1"/>
        </w:numPr>
        <w:spacing w:afterLines="120" w:after="288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Use the </w:t>
      </w:r>
      <w:r w:rsidRPr="0045717A">
        <w:rPr>
          <w:rFonts w:cstheme="minorHAnsi"/>
          <w:sz w:val="24"/>
          <w:szCs w:val="24"/>
          <w:bdr w:val="single" w:sz="4" w:space="0" w:color="auto"/>
          <w:shd w:val="clear" w:color="auto" w:fill="D6C8B4"/>
        </w:rPr>
        <w:t>Program Implementation Summary</w:t>
      </w:r>
      <w:r>
        <w:rPr>
          <w:rFonts w:cstheme="minorHAnsi"/>
          <w:sz w:val="24"/>
          <w:szCs w:val="24"/>
        </w:rPr>
        <w:t xml:space="preserve"> tab to write notes about specific policies or programs included in your test run and assumptions behind the values you entered.</w:t>
      </w:r>
    </w:p>
    <w:p w:rsidR="00EA1C4A" w:rsidRPr="00EF580E" w:rsidRDefault="00F41DCE" w:rsidP="00EA1C4A">
      <w:pPr>
        <w:rPr>
          <w:b/>
          <w:color w:val="00C400"/>
          <w:sz w:val="32"/>
          <w:szCs w:val="32"/>
          <w:u w:val="single"/>
        </w:rPr>
      </w:pPr>
      <w:r>
        <w:rPr>
          <w:b/>
          <w:color w:val="00C400"/>
          <w:sz w:val="32"/>
          <w:szCs w:val="32"/>
          <w:u w:val="single"/>
        </w:rPr>
        <w:t>Where Can I Find The Calculated</w:t>
      </w:r>
      <w:r w:rsidR="00EA1C4A">
        <w:rPr>
          <w:b/>
          <w:color w:val="00C400"/>
          <w:sz w:val="32"/>
          <w:szCs w:val="32"/>
          <w:u w:val="single"/>
        </w:rPr>
        <w:t xml:space="preserve"> </w:t>
      </w:r>
      <w:r w:rsidR="00EA1C4A" w:rsidRPr="00EF580E">
        <w:rPr>
          <w:b/>
          <w:color w:val="00C400"/>
          <w:sz w:val="32"/>
          <w:szCs w:val="32"/>
          <w:u w:val="single"/>
        </w:rPr>
        <w:t>Results</w:t>
      </w:r>
      <w:r>
        <w:rPr>
          <w:b/>
          <w:color w:val="00C400"/>
          <w:sz w:val="32"/>
          <w:szCs w:val="32"/>
          <w:u w:val="single"/>
        </w:rPr>
        <w:t>?</w:t>
      </w:r>
    </w:p>
    <w:p w:rsidR="00EA1C4A" w:rsidRDefault="00EA1C4A" w:rsidP="00EA1C4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Calculated results (in tons and GHG emissions reduced) can be found on the </w:t>
      </w:r>
      <w:r w:rsidRPr="008160BC">
        <w:rPr>
          <w:sz w:val="24"/>
          <w:szCs w:val="24"/>
          <w:highlight w:val="cyan"/>
          <w:bdr w:val="single" w:sz="4" w:space="0" w:color="auto"/>
        </w:rPr>
        <w:t>Results</w:t>
      </w:r>
      <w:r w:rsidRPr="008160BC">
        <w:rPr>
          <w:sz w:val="24"/>
          <w:szCs w:val="24"/>
        </w:rPr>
        <w:t xml:space="preserve"> tab</w:t>
      </w:r>
      <w:r>
        <w:rPr>
          <w:sz w:val="24"/>
          <w:szCs w:val="24"/>
        </w:rPr>
        <w:t>, with tonnages shown on the left</w:t>
      </w:r>
      <w:r w:rsidR="00884AED">
        <w:rPr>
          <w:sz w:val="24"/>
          <w:szCs w:val="24"/>
        </w:rPr>
        <w:t xml:space="preserve"> side</w:t>
      </w:r>
      <w:r>
        <w:rPr>
          <w:sz w:val="24"/>
          <w:szCs w:val="24"/>
        </w:rPr>
        <w:t xml:space="preserve"> and GHG emissions on the right</w:t>
      </w:r>
      <w:r w:rsidR="00884AED">
        <w:rPr>
          <w:sz w:val="24"/>
          <w:szCs w:val="24"/>
        </w:rPr>
        <w:t xml:space="preserve"> side</w:t>
      </w:r>
      <w:r>
        <w:rPr>
          <w:sz w:val="24"/>
          <w:szCs w:val="24"/>
        </w:rPr>
        <w:br/>
      </w:r>
    </w:p>
    <w:p w:rsidR="00EA1C4A" w:rsidRDefault="00EA1C4A" w:rsidP="00F41DCE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Results are displayed for the following:</w:t>
      </w:r>
    </w:p>
    <w:p w:rsidR="00EA1C4A" w:rsidRPr="00F41DCE" w:rsidRDefault="00EA1C4A" w:rsidP="00F41DCE">
      <w:pPr>
        <w:pStyle w:val="ListParagraph"/>
        <w:numPr>
          <w:ilvl w:val="1"/>
          <w:numId w:val="3"/>
        </w:numPr>
        <w:spacing w:after="240"/>
        <w:contextualSpacing w:val="0"/>
        <w:rPr>
          <w:sz w:val="28"/>
          <w:szCs w:val="28"/>
        </w:rPr>
      </w:pPr>
      <w:r w:rsidRPr="00F41DCE">
        <w:rPr>
          <w:sz w:val="28"/>
          <w:szCs w:val="28"/>
        </w:rPr>
        <w:t>10-year Accumulative Benefits (top of tab)</w:t>
      </w:r>
    </w:p>
    <w:p w:rsidR="00F41DCE" w:rsidRDefault="00EA1C4A" w:rsidP="00F41DCE">
      <w:pPr>
        <w:pStyle w:val="ListParagraph"/>
        <w:numPr>
          <w:ilvl w:val="1"/>
          <w:numId w:val="3"/>
        </w:numPr>
        <w:spacing w:after="240"/>
        <w:contextualSpacing w:val="0"/>
        <w:rPr>
          <w:sz w:val="28"/>
          <w:szCs w:val="28"/>
        </w:rPr>
      </w:pPr>
      <w:r w:rsidRPr="00F41DCE">
        <w:rPr>
          <w:sz w:val="28"/>
          <w:szCs w:val="28"/>
        </w:rPr>
        <w:t>Annual Benefits (middle of tab)</w:t>
      </w:r>
    </w:p>
    <w:p w:rsidR="00EA1C4A" w:rsidRPr="00F41DCE" w:rsidRDefault="00EA1C4A" w:rsidP="00F41DCE">
      <w:pPr>
        <w:pStyle w:val="ListParagraph"/>
        <w:numPr>
          <w:ilvl w:val="1"/>
          <w:numId w:val="3"/>
        </w:numPr>
        <w:spacing w:after="240"/>
        <w:contextualSpacing w:val="0"/>
        <w:rPr>
          <w:sz w:val="28"/>
          <w:szCs w:val="28"/>
        </w:rPr>
      </w:pPr>
      <w:r w:rsidRPr="00F41DCE">
        <w:rPr>
          <w:sz w:val="28"/>
          <w:szCs w:val="28"/>
        </w:rPr>
        <w:t>Final (10</w:t>
      </w:r>
      <w:r w:rsidRPr="00F41DCE">
        <w:rPr>
          <w:sz w:val="28"/>
          <w:szCs w:val="28"/>
          <w:vertAlign w:val="superscript"/>
        </w:rPr>
        <w:t>th</w:t>
      </w:r>
      <w:r w:rsidRPr="00F41DCE">
        <w:rPr>
          <w:sz w:val="28"/>
          <w:szCs w:val="28"/>
        </w:rPr>
        <w:t>) Year Benefits (bottom of tab)</w:t>
      </w:r>
    </w:p>
    <w:p w:rsidR="00EA1C4A" w:rsidRDefault="00EA1C4A" w:rsidP="00EA1C4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Results are presented in different formats, including bar charts and pie charts, and by sector (single-family homes, multi-family homes, commercial, C&amp;D)</w:t>
      </w:r>
      <w:r>
        <w:rPr>
          <w:sz w:val="24"/>
          <w:szCs w:val="24"/>
        </w:rPr>
        <w:br/>
      </w:r>
    </w:p>
    <w:p w:rsidR="00EA1C4A" w:rsidRPr="00675D7D" w:rsidRDefault="00EA1C4A" w:rsidP="00EA1C4A">
      <w:pPr>
        <w:pStyle w:val="ListParagraph"/>
        <w:numPr>
          <w:ilvl w:val="0"/>
          <w:numId w:val="3"/>
        </w:numPr>
        <w:spacing w:after="360"/>
        <w:contextualSpacing w:val="0"/>
        <w:rPr>
          <w:sz w:val="24"/>
          <w:szCs w:val="24"/>
        </w:rPr>
      </w:pPr>
      <w:r>
        <w:rPr>
          <w:sz w:val="24"/>
          <w:szCs w:val="24"/>
        </w:rPr>
        <w:t>You may print or copy &amp; paste into another document</w:t>
      </w:r>
      <w:r w:rsidR="00884AED">
        <w:rPr>
          <w:sz w:val="24"/>
          <w:szCs w:val="24"/>
        </w:rPr>
        <w:t xml:space="preserve"> the charts or graphs from </w:t>
      </w:r>
      <w:r>
        <w:rPr>
          <w:sz w:val="24"/>
          <w:szCs w:val="24"/>
        </w:rPr>
        <w:t xml:space="preserve">the Results tab by using the </w:t>
      </w:r>
      <w:r w:rsidRPr="008160BC">
        <w:rPr>
          <w:sz w:val="24"/>
          <w:szCs w:val="24"/>
          <w:highlight w:val="cyan"/>
          <w:bdr w:val="single" w:sz="4" w:space="0" w:color="auto"/>
        </w:rPr>
        <w:t>Printable Charts</w:t>
      </w:r>
      <w:r w:rsidRPr="008160BC">
        <w:rPr>
          <w:sz w:val="24"/>
          <w:szCs w:val="24"/>
        </w:rPr>
        <w:t xml:space="preserve"> tab</w:t>
      </w:r>
    </w:p>
    <w:p w:rsidR="00EA1C4A" w:rsidRPr="00F41DCE" w:rsidRDefault="003A6974" w:rsidP="00EA1C4A">
      <w:pPr>
        <w:rPr>
          <w:b/>
          <w:color w:val="00C400"/>
          <w:sz w:val="28"/>
          <w:szCs w:val="28"/>
        </w:rPr>
      </w:pPr>
      <w:r>
        <w:rPr>
          <w:b/>
          <w:sz w:val="28"/>
          <w:szCs w:val="28"/>
        </w:rPr>
        <w:t>Viewing</w:t>
      </w:r>
      <w:r w:rsidR="00EA1C4A" w:rsidRPr="00F41DCE">
        <w:rPr>
          <w:b/>
          <w:sz w:val="28"/>
          <w:szCs w:val="28"/>
        </w:rPr>
        <w:t xml:space="preserve"> a Detailed Breakdown of Results by Year</w:t>
      </w:r>
    </w:p>
    <w:p w:rsidR="00EA1C4A" w:rsidRDefault="00EA1C4A" w:rsidP="00EA1C4A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Pr="008160BC">
        <w:rPr>
          <w:rFonts w:cstheme="minorHAnsi"/>
          <w:sz w:val="24"/>
          <w:szCs w:val="24"/>
          <w:bdr w:val="single" w:sz="4" w:space="0" w:color="auto"/>
          <w:shd w:val="clear" w:color="auto" w:fill="D9D9D9" w:themeFill="background1" w:themeFillShade="D9"/>
        </w:rPr>
        <w:t xml:space="preserve">Annual </w:t>
      </w:r>
      <w:proofErr w:type="spellStart"/>
      <w:r w:rsidRPr="008160BC">
        <w:rPr>
          <w:rFonts w:cstheme="minorHAnsi"/>
          <w:sz w:val="24"/>
          <w:szCs w:val="24"/>
          <w:bdr w:val="single" w:sz="4" w:space="0" w:color="auto"/>
          <w:shd w:val="clear" w:color="auto" w:fill="D9D9D9" w:themeFill="background1" w:themeFillShade="D9"/>
        </w:rPr>
        <w:t>Calcs</w:t>
      </w:r>
      <w:proofErr w:type="spellEnd"/>
      <w:r w:rsidRPr="008160BC">
        <w:rPr>
          <w:rFonts w:cstheme="minorHAnsi"/>
          <w:sz w:val="24"/>
          <w:szCs w:val="24"/>
        </w:rPr>
        <w:t xml:space="preserve"> tab</w:t>
      </w:r>
      <w:r w:rsidRPr="006F26B6">
        <w:rPr>
          <w:rFonts w:cstheme="minorHAnsi"/>
          <w:sz w:val="24"/>
          <w:szCs w:val="24"/>
        </w:rPr>
        <w:t xml:space="preserve"> shows a year</w:t>
      </w:r>
      <w:r>
        <w:rPr>
          <w:rFonts w:cstheme="minorHAnsi"/>
          <w:sz w:val="24"/>
          <w:szCs w:val="24"/>
        </w:rPr>
        <w:t>-by-year breakdown of the tonnages and percentages by sector and material subcategory</w:t>
      </w:r>
      <w:r w:rsidRPr="006F26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for the calculations underlying the Results tab</w:t>
      </w:r>
      <w:r>
        <w:rPr>
          <w:rFonts w:cstheme="minorHAnsi"/>
          <w:sz w:val="24"/>
          <w:szCs w:val="24"/>
        </w:rPr>
        <w:br/>
      </w:r>
    </w:p>
    <w:p w:rsidR="00EA1C4A" w:rsidRPr="00830ADE" w:rsidRDefault="00EA1C4A" w:rsidP="00EA1C4A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6F26B6">
        <w:rPr>
          <w:rFonts w:cstheme="minorHAnsi"/>
          <w:sz w:val="24"/>
          <w:szCs w:val="24"/>
        </w:rPr>
        <w:t xml:space="preserve">The tables on the left show </w:t>
      </w:r>
      <w:r>
        <w:rPr>
          <w:rFonts w:cstheme="minorHAnsi"/>
          <w:sz w:val="24"/>
          <w:szCs w:val="24"/>
        </w:rPr>
        <w:t>“</w:t>
      </w:r>
      <w:r w:rsidRPr="0045717A">
        <w:rPr>
          <w:rFonts w:cstheme="minorHAnsi"/>
          <w:b/>
          <w:sz w:val="24"/>
          <w:szCs w:val="24"/>
        </w:rPr>
        <w:t>Business As Usual</w:t>
      </w:r>
      <w:r>
        <w:rPr>
          <w:rFonts w:cstheme="minorHAnsi"/>
          <w:sz w:val="24"/>
          <w:szCs w:val="24"/>
        </w:rPr>
        <w:t>”</w:t>
      </w:r>
      <w:r w:rsidRPr="006F26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results</w:t>
      </w:r>
      <w:r w:rsidRPr="006F26B6">
        <w:rPr>
          <w:rFonts w:cstheme="minorHAnsi"/>
          <w:sz w:val="24"/>
          <w:szCs w:val="24"/>
        </w:rPr>
        <w:t xml:space="preserve"> without implementation of any</w:t>
      </w:r>
      <w:r>
        <w:rPr>
          <w:rFonts w:cstheme="minorHAnsi"/>
          <w:sz w:val="24"/>
          <w:szCs w:val="24"/>
        </w:rPr>
        <w:t xml:space="preserve"> new or expanded policies or</w:t>
      </w:r>
      <w:r w:rsidRPr="006F26B6">
        <w:rPr>
          <w:rFonts w:cstheme="minorHAnsi"/>
          <w:sz w:val="24"/>
          <w:szCs w:val="24"/>
        </w:rPr>
        <w:t xml:space="preserve"> programs</w:t>
      </w:r>
      <w:r>
        <w:rPr>
          <w:rFonts w:cstheme="minorHAnsi"/>
          <w:sz w:val="24"/>
          <w:szCs w:val="24"/>
        </w:rPr>
        <w:t xml:space="preserve">.  </w:t>
      </w:r>
      <w:r w:rsidRPr="00830ADE">
        <w:rPr>
          <w:rFonts w:cstheme="minorHAnsi"/>
          <w:sz w:val="24"/>
          <w:szCs w:val="24"/>
        </w:rPr>
        <w:t xml:space="preserve">Due to </w:t>
      </w:r>
      <w:r>
        <w:rPr>
          <w:rFonts w:cstheme="minorHAnsi"/>
          <w:sz w:val="24"/>
          <w:szCs w:val="24"/>
        </w:rPr>
        <w:t xml:space="preserve">the assumptions you entered for </w:t>
      </w:r>
      <w:r w:rsidRPr="00830ADE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>te per capita growth or decline</w:t>
      </w:r>
      <w:r w:rsidRPr="00830ADE">
        <w:rPr>
          <w:rFonts w:cstheme="minorHAnsi"/>
          <w:sz w:val="24"/>
          <w:szCs w:val="24"/>
        </w:rPr>
        <w:t xml:space="preserve">, expect to see modest changes with each year </w:t>
      </w:r>
      <w:r>
        <w:rPr>
          <w:rFonts w:cstheme="minorHAnsi"/>
          <w:sz w:val="24"/>
          <w:szCs w:val="24"/>
        </w:rPr>
        <w:t>in the Business As Usual</w:t>
      </w:r>
      <w:r w:rsidRPr="00830ADE">
        <w:rPr>
          <w:rFonts w:cstheme="minorHAnsi"/>
          <w:sz w:val="24"/>
          <w:szCs w:val="24"/>
        </w:rPr>
        <w:t xml:space="preserve"> ta</w:t>
      </w:r>
      <w:r>
        <w:rPr>
          <w:rFonts w:cstheme="minorHAnsi"/>
          <w:sz w:val="24"/>
          <w:szCs w:val="24"/>
        </w:rPr>
        <w:t xml:space="preserve">bles to the baseline values </w:t>
      </w:r>
      <w:r w:rsidRPr="00830ADE">
        <w:rPr>
          <w:rFonts w:cstheme="minorHAnsi"/>
          <w:sz w:val="24"/>
          <w:szCs w:val="24"/>
        </w:rPr>
        <w:t>entered</w:t>
      </w:r>
      <w:r>
        <w:rPr>
          <w:rFonts w:cstheme="minorHAnsi"/>
          <w:sz w:val="24"/>
          <w:szCs w:val="24"/>
        </w:rPr>
        <w:br/>
      </w:r>
    </w:p>
    <w:p w:rsidR="00EA1C4A" w:rsidRPr="00156F97" w:rsidRDefault="00EA1C4A" w:rsidP="00EA1C4A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sz w:val="24"/>
          <w:szCs w:val="24"/>
        </w:rPr>
      </w:pPr>
      <w:r w:rsidRPr="006F26B6">
        <w:rPr>
          <w:rFonts w:cstheme="minorHAnsi"/>
          <w:sz w:val="24"/>
          <w:szCs w:val="24"/>
        </w:rPr>
        <w:t xml:space="preserve">The tables on the right show </w:t>
      </w:r>
      <w:r>
        <w:rPr>
          <w:rFonts w:cstheme="minorHAnsi"/>
          <w:sz w:val="24"/>
          <w:szCs w:val="24"/>
        </w:rPr>
        <w:t>“</w:t>
      </w:r>
      <w:r w:rsidRPr="0045717A">
        <w:rPr>
          <w:rFonts w:cstheme="minorHAnsi"/>
          <w:b/>
          <w:sz w:val="24"/>
          <w:szCs w:val="24"/>
        </w:rPr>
        <w:t>With Strategies Implemented</w:t>
      </w:r>
      <w:r>
        <w:rPr>
          <w:rFonts w:cstheme="minorHAnsi"/>
          <w:sz w:val="24"/>
          <w:szCs w:val="24"/>
        </w:rPr>
        <w:t xml:space="preserve">”, breaking down by material type </w:t>
      </w:r>
      <w:r w:rsidRPr="006F26B6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% increases assumed for policy and program implementation in your scenario.  Scrolling further to the right shows </w:t>
      </w:r>
      <w:r w:rsidR="000F574B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breakdown of GHG reduction calculations by material type</w:t>
      </w:r>
      <w:r w:rsidRPr="00156F97">
        <w:rPr>
          <w:rFonts w:cstheme="minorHAnsi"/>
          <w:sz w:val="24"/>
          <w:szCs w:val="24"/>
        </w:rPr>
        <w:br/>
      </w:r>
    </w:p>
    <w:p w:rsidR="00311D02" w:rsidRDefault="00D47B5F"/>
    <w:sectPr w:rsidR="00311D02" w:rsidSect="009154D0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6D35"/>
    <w:multiLevelType w:val="hybridMultilevel"/>
    <w:tmpl w:val="73E4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46FE8"/>
    <w:multiLevelType w:val="hybridMultilevel"/>
    <w:tmpl w:val="B360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65AD6"/>
    <w:multiLevelType w:val="hybridMultilevel"/>
    <w:tmpl w:val="3B98A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4A"/>
    <w:rsid w:val="000220AB"/>
    <w:rsid w:val="000456A7"/>
    <w:rsid w:val="000776E2"/>
    <w:rsid w:val="000F574B"/>
    <w:rsid w:val="00360102"/>
    <w:rsid w:val="003A6974"/>
    <w:rsid w:val="004915AA"/>
    <w:rsid w:val="006D10B2"/>
    <w:rsid w:val="00760A66"/>
    <w:rsid w:val="007656B1"/>
    <w:rsid w:val="00784E91"/>
    <w:rsid w:val="00837613"/>
    <w:rsid w:val="00884AED"/>
    <w:rsid w:val="00907A27"/>
    <w:rsid w:val="009154D0"/>
    <w:rsid w:val="00916A2C"/>
    <w:rsid w:val="009420F7"/>
    <w:rsid w:val="00B35DDE"/>
    <w:rsid w:val="00BA4942"/>
    <w:rsid w:val="00BC241D"/>
    <w:rsid w:val="00C44F06"/>
    <w:rsid w:val="00C60CAC"/>
    <w:rsid w:val="00D2502F"/>
    <w:rsid w:val="00D406EA"/>
    <w:rsid w:val="00D47B5F"/>
    <w:rsid w:val="00E57299"/>
    <w:rsid w:val="00E72361"/>
    <w:rsid w:val="00EA1C4A"/>
    <w:rsid w:val="00EE4D0A"/>
    <w:rsid w:val="00F22E64"/>
    <w:rsid w:val="00F4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E66C6-59FD-4998-BF10-4F817652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C4A"/>
    <w:pPr>
      <w:ind w:left="720"/>
      <w:contextualSpacing/>
    </w:pPr>
  </w:style>
  <w:style w:type="table" w:styleId="TableGrid">
    <w:name w:val="Table Grid"/>
    <w:basedOn w:val="TableNormal"/>
    <w:uiPriority w:val="39"/>
    <w:rsid w:val="00D2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250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D2502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D2502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2502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D2502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ListTable2-Accent5">
    <w:name w:val="List Table 2 Accent 5"/>
    <w:basedOn w:val="TableNormal"/>
    <w:uiPriority w:val="47"/>
    <w:rsid w:val="00D2502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D2502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D250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D250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3">
    <w:name w:val="Grid Table 3"/>
    <w:basedOn w:val="TableNormal"/>
    <w:uiPriority w:val="48"/>
    <w:rsid w:val="00D2502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2502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A426D-90FF-4BD4-B812-2EA38C3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Irwin, Karen</dc:creator>
  <cp:keywords/>
  <dc:description/>
  <cp:lastModifiedBy>Irwin, Karen</cp:lastModifiedBy>
  <cp:revision>26</cp:revision>
  <dcterms:created xsi:type="dcterms:W3CDTF">2016-04-22T00:58:00Z</dcterms:created>
  <dcterms:modified xsi:type="dcterms:W3CDTF">2016-05-03T22:45:00Z</dcterms:modified>
</cp:coreProperties>
</file>