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FC" w:rsidRPr="00332EF5" w:rsidRDefault="006B56FC" w:rsidP="00346B4E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</w:t>
      </w:r>
      <w:r w:rsidR="00346B4E">
        <w:rPr>
          <w:b/>
        </w:rPr>
        <w:t>24</w:t>
      </w:r>
      <w:r w:rsidR="0012428B">
        <w:rPr>
          <w:b/>
        </w:rPr>
        <w:t xml:space="preserve">: </w:t>
      </w:r>
      <w:r w:rsidR="00346B4E">
        <w:rPr>
          <w:b/>
        </w:rPr>
        <w:t>Analytical Instrument Calibration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720C2E">
        <w:rPr>
          <w:b/>
        </w:rPr>
        <w:t xml:space="preserve">Manual </w:t>
      </w:r>
      <w:r w:rsidRPr="00332EF5">
        <w:rPr>
          <w:b/>
        </w:rPr>
        <w:t>Section</w:t>
      </w:r>
      <w:r w:rsidR="00346B4E">
        <w:rPr>
          <w:b/>
        </w:rPr>
        <w:t xml:space="preserve"> 3.2.2</w:t>
      </w:r>
      <w:r w:rsidRPr="00332EF5">
        <w:rPr>
          <w:b/>
        </w:rPr>
        <w:t>)</w:t>
      </w:r>
    </w:p>
    <w:p w:rsidR="00720C2E" w:rsidRDefault="00720C2E" w:rsidP="00720C2E">
      <w:pPr>
        <w:spacing w:after="0"/>
        <w:jc w:val="center"/>
      </w:pPr>
      <w:r>
        <w:rPr>
          <w:b/>
        </w:rPr>
        <w:t>(EPA 2106-G-05 Section 2.3.6)</w:t>
      </w:r>
    </w:p>
    <w:p w:rsidR="00332EF5" w:rsidRPr="00346B4E" w:rsidRDefault="00332EF5" w:rsidP="00332EF5">
      <w:pPr>
        <w:spacing w:after="0"/>
        <w:jc w:val="center"/>
      </w:pPr>
    </w:p>
    <w:p w:rsidR="00346B4E" w:rsidRDefault="00346B4E" w:rsidP="00346B4E">
      <w:pPr>
        <w:pStyle w:val="BodyText3"/>
        <w:spacing w:before="0" w:after="0"/>
        <w:ind w:left="360"/>
        <w:jc w:val="left"/>
        <w:rPr>
          <w:rFonts w:asciiTheme="minorHAnsi" w:hAnsiTheme="minorHAnsi"/>
          <w:color w:val="00B050"/>
        </w:rPr>
      </w:pPr>
      <w:r w:rsidRPr="007D0B1B">
        <w:rPr>
          <w:rFonts w:asciiTheme="minorHAnsi" w:hAnsiTheme="minorHAnsi"/>
          <w:color w:val="00B050"/>
        </w:rPr>
        <w:t>This worksheet should be completed for all analytical instruments, whether used i</w:t>
      </w:r>
      <w:r w:rsidR="00F61D31">
        <w:rPr>
          <w:rFonts w:asciiTheme="minorHAnsi" w:hAnsiTheme="minorHAnsi"/>
          <w:color w:val="00B050"/>
        </w:rPr>
        <w:t xml:space="preserve">n the field or the laboratory. </w:t>
      </w:r>
      <w:r w:rsidRPr="007D0B1B">
        <w:rPr>
          <w:rFonts w:asciiTheme="minorHAnsi" w:hAnsiTheme="minorHAnsi"/>
          <w:color w:val="00B050"/>
        </w:rPr>
        <w:t>As appropriate to the instrument, calibration procedures should include tuning, initial calibration, calibration blank, initial calibration verification (second source), continuing calibration verification, linear dynamic range (ICP and ICP/MS only), and verification of detection and quantifica</w:t>
      </w:r>
      <w:r w:rsidR="00F61D31">
        <w:rPr>
          <w:rFonts w:asciiTheme="minorHAnsi" w:hAnsiTheme="minorHAnsi"/>
          <w:color w:val="00B050"/>
        </w:rPr>
        <w:t>tion limits (however defined.) See also Worksheet 15.</w:t>
      </w:r>
      <w:r w:rsidRPr="007D0B1B">
        <w:rPr>
          <w:rFonts w:asciiTheme="minorHAnsi" w:hAnsiTheme="minorHAnsi"/>
          <w:color w:val="00B050"/>
        </w:rPr>
        <w:t xml:space="preserve"> If information for a specific procedure is provided in an SOP, and the SOP is attached, then this worksheet can reference the SOP and </w:t>
      </w:r>
      <w:r w:rsidR="007D0B1B">
        <w:rPr>
          <w:rFonts w:asciiTheme="minorHAnsi" w:hAnsiTheme="minorHAnsi"/>
          <w:color w:val="00B050"/>
        </w:rPr>
        <w:t xml:space="preserve">identify </w:t>
      </w:r>
      <w:r w:rsidRPr="007D0B1B">
        <w:rPr>
          <w:rFonts w:asciiTheme="minorHAnsi" w:hAnsiTheme="minorHAnsi"/>
          <w:color w:val="00B050"/>
        </w:rPr>
        <w:t xml:space="preserve">the </w:t>
      </w:r>
      <w:r w:rsidR="00F02E43">
        <w:rPr>
          <w:rFonts w:asciiTheme="minorHAnsi" w:hAnsiTheme="minorHAnsi"/>
          <w:color w:val="00B050"/>
        </w:rPr>
        <w:t xml:space="preserve">responsible </w:t>
      </w:r>
      <w:r w:rsidRPr="007D0B1B">
        <w:rPr>
          <w:rFonts w:asciiTheme="minorHAnsi" w:hAnsiTheme="minorHAnsi"/>
          <w:color w:val="00B050"/>
        </w:rPr>
        <w:t>person</w:t>
      </w:r>
      <w:r w:rsidR="00F02E43">
        <w:rPr>
          <w:rFonts w:asciiTheme="minorHAnsi" w:hAnsiTheme="minorHAnsi"/>
          <w:color w:val="00B050"/>
        </w:rPr>
        <w:t>.</w:t>
      </w:r>
    </w:p>
    <w:p w:rsidR="00F02E43" w:rsidRPr="00865319" w:rsidRDefault="00F02E43" w:rsidP="00346B4E">
      <w:pPr>
        <w:pStyle w:val="BodyText3"/>
        <w:spacing w:before="0" w:after="0"/>
        <w:ind w:left="360"/>
        <w:jc w:val="left"/>
      </w:pPr>
    </w:p>
    <w:p w:rsidR="00346B4E" w:rsidRPr="00865319" w:rsidRDefault="00346B4E" w:rsidP="00346B4E">
      <w:pPr>
        <w:pStyle w:val="BodyText3"/>
        <w:spacing w:before="0" w:after="0"/>
        <w:ind w:left="360"/>
        <w:jc w:val="left"/>
        <w:rPr>
          <w:rFonts w:ascii="Helvetica" w:hAnsi="Helvetica"/>
        </w:rPr>
      </w:pPr>
    </w:p>
    <w:tbl>
      <w:tblPr>
        <w:tblW w:w="5000" w:type="pct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2" w:space="0" w:color="000000"/>
          <w:insideV w:val="single" w:sz="6" w:space="0" w:color="000000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79"/>
        <w:gridCol w:w="1679"/>
        <w:gridCol w:w="1618"/>
        <w:gridCol w:w="1787"/>
        <w:gridCol w:w="1634"/>
        <w:gridCol w:w="1671"/>
        <w:gridCol w:w="2004"/>
        <w:gridCol w:w="1428"/>
      </w:tblGrid>
      <w:tr w:rsidR="00346B4E" w:rsidTr="00F02E43">
        <w:trPr>
          <w:tblHeader/>
          <w:jc w:val="center"/>
        </w:trPr>
        <w:tc>
          <w:tcPr>
            <w:tcW w:w="522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Instrument</w:t>
            </w:r>
          </w:p>
        </w:tc>
        <w:tc>
          <w:tcPr>
            <w:tcW w:w="636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533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Calibration Procedure</w:t>
            </w:r>
          </w:p>
        </w:tc>
        <w:tc>
          <w:tcPr>
            <w:tcW w:w="613" w:type="pct"/>
            <w:vAlign w:val="center"/>
          </w:tcPr>
          <w:p w:rsidR="00346B4E" w:rsidRPr="00F02E43" w:rsidRDefault="00346B4E" w:rsidP="00F02E43">
            <w:pPr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Calibration Range</w:t>
            </w:r>
          </w:p>
        </w:tc>
        <w:tc>
          <w:tcPr>
            <w:tcW w:w="677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101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Frequency</w:t>
            </w:r>
          </w:p>
        </w:tc>
        <w:tc>
          <w:tcPr>
            <w:tcW w:w="619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Acceptance Criteria</w:t>
            </w:r>
          </w:p>
        </w:tc>
        <w:tc>
          <w:tcPr>
            <w:tcW w:w="633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Corrective Action (CA)</w:t>
            </w:r>
          </w:p>
        </w:tc>
        <w:tc>
          <w:tcPr>
            <w:tcW w:w="759" w:type="pct"/>
            <w:vAlign w:val="center"/>
          </w:tcPr>
          <w:p w:rsidR="00346B4E" w:rsidRPr="00F02E43" w:rsidRDefault="00B9248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Title/position responsible for Corrective Action</w:t>
            </w:r>
          </w:p>
        </w:tc>
        <w:tc>
          <w:tcPr>
            <w:tcW w:w="542" w:type="pct"/>
            <w:vAlign w:val="center"/>
          </w:tcPr>
          <w:p w:rsidR="00346B4E" w:rsidRPr="00F02E43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0"/>
              <w:jc w:val="center"/>
              <w:rPr>
                <w:b/>
              </w:rPr>
            </w:pPr>
            <w:r w:rsidRPr="00F02E43">
              <w:rPr>
                <w:b/>
              </w:rPr>
              <w:t>SOP Reference</w:t>
            </w:r>
          </w:p>
        </w:tc>
      </w:tr>
      <w:tr w:rsidR="00346B4E" w:rsidTr="00F02E43">
        <w:trPr>
          <w:jc w:val="center"/>
        </w:trPr>
        <w:tc>
          <w:tcPr>
            <w:tcW w:w="522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line="360" w:lineRule="auto"/>
            </w:pPr>
          </w:p>
        </w:tc>
        <w:tc>
          <w:tcPr>
            <w:tcW w:w="636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77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9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759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542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</w:tr>
      <w:tr w:rsidR="00346B4E" w:rsidTr="00F02E43">
        <w:trPr>
          <w:jc w:val="center"/>
        </w:trPr>
        <w:tc>
          <w:tcPr>
            <w:tcW w:w="522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6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77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9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759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542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</w:tr>
      <w:tr w:rsidR="00346B4E" w:rsidTr="00F02E43">
        <w:trPr>
          <w:jc w:val="center"/>
        </w:trPr>
        <w:tc>
          <w:tcPr>
            <w:tcW w:w="522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6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77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9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759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542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</w:tr>
      <w:tr w:rsidR="00346B4E" w:rsidTr="00F02E43">
        <w:trPr>
          <w:jc w:val="center"/>
        </w:trPr>
        <w:tc>
          <w:tcPr>
            <w:tcW w:w="522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6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77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9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759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542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</w:tr>
      <w:tr w:rsidR="00346B4E" w:rsidTr="00F02E43">
        <w:trPr>
          <w:jc w:val="center"/>
        </w:trPr>
        <w:tc>
          <w:tcPr>
            <w:tcW w:w="522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6" w:type="pct"/>
          </w:tcPr>
          <w:p w:rsidR="00346B4E" w:rsidRPr="00346B4E" w:rsidRDefault="00346B4E" w:rsidP="00762F2D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77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19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633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759" w:type="pct"/>
          </w:tcPr>
          <w:p w:rsidR="00346B4E" w:rsidRPr="00346B4E" w:rsidRDefault="00346B4E" w:rsidP="00F02E43">
            <w:pPr>
              <w:pStyle w:val="Header"/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  <w:tc>
          <w:tcPr>
            <w:tcW w:w="542" w:type="pct"/>
          </w:tcPr>
          <w:p w:rsidR="00346B4E" w:rsidRPr="00346B4E" w:rsidRDefault="00346B4E" w:rsidP="00F02E43">
            <w:pPr>
              <w:tabs>
                <w:tab w:val="left" w:pos="218"/>
                <w:tab w:val="left" w:pos="420"/>
                <w:tab w:val="left" w:pos="600"/>
                <w:tab w:val="left" w:pos="780"/>
                <w:tab w:val="left" w:pos="960"/>
                <w:tab w:val="left" w:pos="1230"/>
                <w:tab w:val="left" w:pos="1770"/>
                <w:tab w:val="left" w:pos="3735"/>
                <w:tab w:val="left" w:pos="4455"/>
                <w:tab w:val="left" w:pos="5175"/>
                <w:tab w:val="left" w:pos="5895"/>
                <w:tab w:val="left" w:pos="6615"/>
                <w:tab w:val="left" w:pos="7335"/>
                <w:tab w:val="left" w:pos="8055"/>
                <w:tab w:val="left" w:pos="8775"/>
                <w:tab w:val="left" w:pos="9495"/>
                <w:tab w:val="left" w:pos="10215"/>
                <w:tab w:val="left" w:pos="10935"/>
                <w:tab w:val="left" w:pos="11655"/>
                <w:tab w:val="left" w:pos="12375"/>
              </w:tabs>
              <w:spacing w:after="58" w:line="360" w:lineRule="auto"/>
            </w:pPr>
          </w:p>
        </w:tc>
      </w:tr>
    </w:tbl>
    <w:p w:rsidR="002E44E2" w:rsidRDefault="002E44E2" w:rsidP="00865319">
      <w:pPr>
        <w:spacing w:before="240"/>
      </w:pPr>
    </w:p>
    <w:sectPr w:rsidR="002E44E2" w:rsidSect="004A175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4EF" w:rsidRDefault="00D014EF" w:rsidP="00FF0C16">
      <w:pPr>
        <w:spacing w:after="0" w:line="240" w:lineRule="auto"/>
      </w:pPr>
      <w:r>
        <w:separator/>
      </w:r>
    </w:p>
  </w:endnote>
  <w:endnote w:type="continuationSeparator" w:id="0">
    <w:p w:rsidR="00D014EF" w:rsidRDefault="00D014EF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4EF" w:rsidRDefault="00D014EF" w:rsidP="00FF0C16">
      <w:pPr>
        <w:spacing w:after="0" w:line="240" w:lineRule="auto"/>
      </w:pPr>
      <w:r>
        <w:separator/>
      </w:r>
    </w:p>
  </w:footnote>
  <w:footnote w:type="continuationSeparator" w:id="0">
    <w:p w:rsidR="00D014EF" w:rsidRDefault="00D014EF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053189"/>
      <w:docPartObj>
        <w:docPartGallery w:val="Page Numbers (Top of Page)"/>
        <w:docPartUnique/>
      </w:docPartObj>
    </w:sdtPr>
    <w:sdtEndPr/>
    <w:sdtContent>
      <w:p w:rsidR="00F6380C" w:rsidRPr="007D0B1B" w:rsidRDefault="00F6380C">
        <w:pPr>
          <w:pStyle w:val="Header"/>
          <w:jc w:val="right"/>
          <w:rPr>
            <w:sz w:val="20"/>
            <w:szCs w:val="20"/>
          </w:rPr>
        </w:pPr>
        <w:r w:rsidRPr="007D0B1B">
          <w:rPr>
            <w:sz w:val="20"/>
            <w:szCs w:val="20"/>
          </w:rPr>
          <w:t>Title:</w:t>
        </w:r>
      </w:p>
      <w:p w:rsidR="00F6380C" w:rsidRPr="007D0B1B" w:rsidRDefault="00F6380C">
        <w:pPr>
          <w:pStyle w:val="Header"/>
          <w:jc w:val="right"/>
          <w:rPr>
            <w:sz w:val="20"/>
            <w:szCs w:val="20"/>
          </w:rPr>
        </w:pPr>
        <w:r w:rsidRPr="007D0B1B">
          <w:rPr>
            <w:sz w:val="20"/>
            <w:szCs w:val="20"/>
          </w:rPr>
          <w:t>Revision Number:</w:t>
        </w:r>
      </w:p>
      <w:p w:rsidR="00F6380C" w:rsidRPr="007D0B1B" w:rsidRDefault="00F6380C">
        <w:pPr>
          <w:pStyle w:val="Header"/>
          <w:jc w:val="right"/>
          <w:rPr>
            <w:sz w:val="20"/>
            <w:szCs w:val="20"/>
          </w:rPr>
        </w:pPr>
        <w:r w:rsidRPr="007D0B1B">
          <w:rPr>
            <w:sz w:val="20"/>
            <w:szCs w:val="20"/>
          </w:rPr>
          <w:t>Revision Date:</w:t>
        </w:r>
      </w:p>
      <w:p w:rsidR="00F6380C" w:rsidRDefault="00F6380C">
        <w:pPr>
          <w:pStyle w:val="Header"/>
          <w:jc w:val="right"/>
        </w:pPr>
        <w:r w:rsidRPr="007D0B1B">
          <w:rPr>
            <w:sz w:val="20"/>
            <w:szCs w:val="20"/>
          </w:rPr>
          <w:t xml:space="preserve">Page </w:t>
        </w:r>
        <w:r w:rsidR="0060662D" w:rsidRPr="007D0B1B">
          <w:rPr>
            <w:b/>
            <w:sz w:val="20"/>
            <w:szCs w:val="20"/>
          </w:rPr>
          <w:fldChar w:fldCharType="begin"/>
        </w:r>
        <w:r w:rsidRPr="007D0B1B">
          <w:rPr>
            <w:b/>
            <w:sz w:val="20"/>
            <w:szCs w:val="20"/>
          </w:rPr>
          <w:instrText xml:space="preserve"> PAGE </w:instrText>
        </w:r>
        <w:r w:rsidR="0060662D" w:rsidRPr="007D0B1B">
          <w:rPr>
            <w:b/>
            <w:sz w:val="20"/>
            <w:szCs w:val="20"/>
          </w:rPr>
          <w:fldChar w:fldCharType="separate"/>
        </w:r>
        <w:r w:rsidR="00762F2D">
          <w:rPr>
            <w:b/>
            <w:noProof/>
            <w:sz w:val="20"/>
            <w:szCs w:val="20"/>
          </w:rPr>
          <w:t>1</w:t>
        </w:r>
        <w:r w:rsidR="0060662D" w:rsidRPr="007D0B1B">
          <w:rPr>
            <w:b/>
            <w:sz w:val="20"/>
            <w:szCs w:val="20"/>
          </w:rPr>
          <w:fldChar w:fldCharType="end"/>
        </w:r>
        <w:r w:rsidRPr="007D0B1B">
          <w:rPr>
            <w:sz w:val="20"/>
            <w:szCs w:val="20"/>
          </w:rPr>
          <w:t xml:space="preserve"> of </w:t>
        </w:r>
        <w:r w:rsidR="0060662D" w:rsidRPr="007D0B1B">
          <w:rPr>
            <w:b/>
            <w:sz w:val="20"/>
            <w:szCs w:val="20"/>
          </w:rPr>
          <w:fldChar w:fldCharType="begin"/>
        </w:r>
        <w:r w:rsidRPr="007D0B1B">
          <w:rPr>
            <w:b/>
            <w:sz w:val="20"/>
            <w:szCs w:val="20"/>
          </w:rPr>
          <w:instrText xml:space="preserve"> NUMPAGES  </w:instrText>
        </w:r>
        <w:r w:rsidR="0060662D" w:rsidRPr="007D0B1B">
          <w:rPr>
            <w:b/>
            <w:sz w:val="20"/>
            <w:szCs w:val="20"/>
          </w:rPr>
          <w:fldChar w:fldCharType="separate"/>
        </w:r>
        <w:r w:rsidR="00762F2D">
          <w:rPr>
            <w:b/>
            <w:noProof/>
            <w:sz w:val="20"/>
            <w:szCs w:val="20"/>
          </w:rPr>
          <w:t>1</w:t>
        </w:r>
        <w:r w:rsidR="0060662D" w:rsidRPr="007D0B1B">
          <w:rPr>
            <w:b/>
            <w:sz w:val="20"/>
            <w:szCs w:val="20"/>
          </w:rPr>
          <w:fldChar w:fldCharType="end"/>
        </w:r>
      </w:p>
    </w:sdtContent>
  </w:sdt>
  <w:p w:rsidR="00F6380C" w:rsidRDefault="00F638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B6AAF"/>
    <w:rsid w:val="0012428B"/>
    <w:rsid w:val="00190489"/>
    <w:rsid w:val="001F6296"/>
    <w:rsid w:val="00216BF1"/>
    <w:rsid w:val="00223128"/>
    <w:rsid w:val="00226C65"/>
    <w:rsid w:val="002352CA"/>
    <w:rsid w:val="002362C2"/>
    <w:rsid w:val="002D1D52"/>
    <w:rsid w:val="002E44E2"/>
    <w:rsid w:val="00332EF5"/>
    <w:rsid w:val="00346B4E"/>
    <w:rsid w:val="003C5050"/>
    <w:rsid w:val="003E3F20"/>
    <w:rsid w:val="00402B16"/>
    <w:rsid w:val="00457527"/>
    <w:rsid w:val="00487BBF"/>
    <w:rsid w:val="004A175F"/>
    <w:rsid w:val="004B6C7A"/>
    <w:rsid w:val="004F69D6"/>
    <w:rsid w:val="0052704E"/>
    <w:rsid w:val="00537E71"/>
    <w:rsid w:val="00582F74"/>
    <w:rsid w:val="00594380"/>
    <w:rsid w:val="00597F9F"/>
    <w:rsid w:val="005A77C5"/>
    <w:rsid w:val="0060662D"/>
    <w:rsid w:val="00622D9E"/>
    <w:rsid w:val="00660F07"/>
    <w:rsid w:val="006919AF"/>
    <w:rsid w:val="006A3A72"/>
    <w:rsid w:val="006B56FC"/>
    <w:rsid w:val="00706983"/>
    <w:rsid w:val="00707A97"/>
    <w:rsid w:val="00710EE3"/>
    <w:rsid w:val="00713B7E"/>
    <w:rsid w:val="00720C2E"/>
    <w:rsid w:val="00754E2B"/>
    <w:rsid w:val="00762F2D"/>
    <w:rsid w:val="007B4AA8"/>
    <w:rsid w:val="007D0B1B"/>
    <w:rsid w:val="00865319"/>
    <w:rsid w:val="008F066B"/>
    <w:rsid w:val="008F0996"/>
    <w:rsid w:val="008F39D0"/>
    <w:rsid w:val="00900919"/>
    <w:rsid w:val="00925C3C"/>
    <w:rsid w:val="00947B9E"/>
    <w:rsid w:val="0096117B"/>
    <w:rsid w:val="009A674D"/>
    <w:rsid w:val="00A17BC5"/>
    <w:rsid w:val="00A22594"/>
    <w:rsid w:val="00A65524"/>
    <w:rsid w:val="00A834E4"/>
    <w:rsid w:val="00A930F6"/>
    <w:rsid w:val="00B01C25"/>
    <w:rsid w:val="00B02C29"/>
    <w:rsid w:val="00B712D1"/>
    <w:rsid w:val="00B9248E"/>
    <w:rsid w:val="00BF18CD"/>
    <w:rsid w:val="00BF549C"/>
    <w:rsid w:val="00C13886"/>
    <w:rsid w:val="00C13DAB"/>
    <w:rsid w:val="00C21E2B"/>
    <w:rsid w:val="00C311B2"/>
    <w:rsid w:val="00C44DA5"/>
    <w:rsid w:val="00C603A7"/>
    <w:rsid w:val="00CE4D7C"/>
    <w:rsid w:val="00D012D0"/>
    <w:rsid w:val="00D014EF"/>
    <w:rsid w:val="00D17CBC"/>
    <w:rsid w:val="00D32072"/>
    <w:rsid w:val="00DC7F74"/>
    <w:rsid w:val="00E953BD"/>
    <w:rsid w:val="00F02E43"/>
    <w:rsid w:val="00F61D31"/>
    <w:rsid w:val="00F61D34"/>
    <w:rsid w:val="00F6380C"/>
    <w:rsid w:val="00FC4A4F"/>
    <w:rsid w:val="00FC5F8F"/>
    <w:rsid w:val="00FD02DF"/>
    <w:rsid w:val="00FE6978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6B56FC"/>
    <w:pPr>
      <w:spacing w:before="60" w:after="60" w:line="240" w:lineRule="auto"/>
      <w:ind w:left="480" w:righ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6B56FC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46B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46B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4A1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rsid w:val="006B56FC"/>
    <w:pPr>
      <w:spacing w:before="60" w:after="60" w:line="240" w:lineRule="auto"/>
      <w:ind w:left="480" w:right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6B56FC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46B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46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#24: Analytical Instrument Calibration</vt:lpstr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#24: Analytical Instrument Calibration</dc:title>
  <dc:subject>This worksheet should be completed for all analytical instruments, whether used in the field or the laboratory.</dc:subject>
  <dc:creator>US EPA;US Department of Defense;US Department of Energy</dc:creator>
  <cp:keywords>instrument, calibration, frequency, acceptance criteria, corrective action, SOP</cp:keywords>
  <cp:lastModifiedBy>Kevin O'Donovan</cp:lastModifiedBy>
  <cp:revision>6</cp:revision>
  <cp:lastPrinted>2011-01-14T18:53:00Z</cp:lastPrinted>
  <dcterms:created xsi:type="dcterms:W3CDTF">2012-05-08T13:11:00Z</dcterms:created>
  <dcterms:modified xsi:type="dcterms:W3CDTF">2012-05-08T13:26:00Z</dcterms:modified>
</cp:coreProperties>
</file>