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52" w:rsidRPr="00332EF5" w:rsidRDefault="002D1D52" w:rsidP="00332EF5">
      <w:pPr>
        <w:spacing w:after="0"/>
        <w:jc w:val="center"/>
        <w:rPr>
          <w:b/>
        </w:rPr>
      </w:pPr>
      <w:bookmarkStart w:id="0" w:name="_GoBack"/>
      <w:bookmarkEnd w:id="0"/>
      <w:r w:rsidRPr="00332EF5">
        <w:rPr>
          <w:b/>
        </w:rPr>
        <w:t>QAPP Worksheet #</w:t>
      </w:r>
      <w:r w:rsidR="00F25E1C">
        <w:rPr>
          <w:b/>
        </w:rPr>
        <w:t>15</w:t>
      </w:r>
      <w:r w:rsidR="00C87936">
        <w:rPr>
          <w:b/>
        </w:rPr>
        <w:t xml:space="preserve">: </w:t>
      </w:r>
      <w:r w:rsidR="008261ED">
        <w:rPr>
          <w:b/>
        </w:rPr>
        <w:t xml:space="preserve">Project </w:t>
      </w:r>
      <w:r w:rsidR="00F25E1C">
        <w:rPr>
          <w:b/>
        </w:rPr>
        <w:t xml:space="preserve">Action </w:t>
      </w:r>
      <w:r w:rsidR="008261ED">
        <w:rPr>
          <w:b/>
        </w:rPr>
        <w:t>L</w:t>
      </w:r>
      <w:r w:rsidR="00F25E1C">
        <w:rPr>
          <w:b/>
        </w:rPr>
        <w:t xml:space="preserve">imits and </w:t>
      </w:r>
      <w:r w:rsidR="00AF2D6C">
        <w:rPr>
          <w:b/>
        </w:rPr>
        <w:t>Laboratory-Specific D</w:t>
      </w:r>
      <w:r w:rsidR="00F25E1C">
        <w:rPr>
          <w:b/>
        </w:rPr>
        <w:t>etection/</w:t>
      </w:r>
      <w:r w:rsidR="00AF2D6C">
        <w:rPr>
          <w:b/>
        </w:rPr>
        <w:t>Q</w:t>
      </w:r>
      <w:r w:rsidR="00F25E1C">
        <w:rPr>
          <w:b/>
        </w:rPr>
        <w:t xml:space="preserve">uantitation </w:t>
      </w:r>
      <w:r w:rsidR="00AF2D6C">
        <w:rPr>
          <w:b/>
        </w:rPr>
        <w:t>L</w:t>
      </w:r>
      <w:r w:rsidR="00F25E1C">
        <w:rPr>
          <w:b/>
        </w:rPr>
        <w:t>imits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4B21AD">
        <w:rPr>
          <w:b/>
        </w:rPr>
        <w:t xml:space="preserve">Manual </w:t>
      </w:r>
      <w:r w:rsidRPr="00332EF5">
        <w:rPr>
          <w:b/>
        </w:rPr>
        <w:t>Section</w:t>
      </w:r>
      <w:r w:rsidR="00AF2D6C">
        <w:rPr>
          <w:b/>
        </w:rPr>
        <w:t xml:space="preserve"> 2.6.2.3 and Figure 15)</w:t>
      </w:r>
    </w:p>
    <w:p w:rsidR="004B21AD" w:rsidRDefault="004B21AD" w:rsidP="004B21AD">
      <w:pPr>
        <w:spacing w:after="0"/>
        <w:jc w:val="center"/>
      </w:pPr>
      <w:r>
        <w:rPr>
          <w:b/>
        </w:rPr>
        <w:t>(EPA 2106-G-05 Section 2.2.6)</w:t>
      </w:r>
    </w:p>
    <w:p w:rsidR="00332EF5" w:rsidRDefault="00332EF5" w:rsidP="00332EF5">
      <w:pPr>
        <w:spacing w:after="0"/>
        <w:jc w:val="center"/>
      </w:pPr>
    </w:p>
    <w:p w:rsidR="008261ED" w:rsidRDefault="008261ED" w:rsidP="00223128">
      <w:pPr>
        <w:spacing w:after="0"/>
        <w:rPr>
          <w:color w:val="00B050"/>
          <w:szCs w:val="20"/>
        </w:rPr>
      </w:pPr>
      <w:r>
        <w:rPr>
          <w:color w:val="00B050"/>
          <w:szCs w:val="20"/>
        </w:rPr>
        <w:t>This worksheet should be completed for each matrix, analy</w:t>
      </w:r>
      <w:r w:rsidR="003F72DD">
        <w:rPr>
          <w:color w:val="00B050"/>
          <w:szCs w:val="20"/>
        </w:rPr>
        <w:t xml:space="preserve">te, analytical method, </w:t>
      </w:r>
      <w:r>
        <w:rPr>
          <w:color w:val="00B050"/>
          <w:szCs w:val="20"/>
        </w:rPr>
        <w:t>and concen</w:t>
      </w:r>
      <w:r w:rsidR="007F5E0F">
        <w:rPr>
          <w:color w:val="00B050"/>
          <w:szCs w:val="20"/>
        </w:rPr>
        <w:t xml:space="preserve">tration level (if applicable). </w:t>
      </w:r>
      <w:r>
        <w:rPr>
          <w:color w:val="00B050"/>
          <w:szCs w:val="20"/>
        </w:rPr>
        <w:t>Its purpose</w:t>
      </w:r>
      <w:r w:rsidR="00F25E1C">
        <w:rPr>
          <w:color w:val="00B050"/>
          <w:szCs w:val="20"/>
        </w:rPr>
        <w:t xml:space="preserve"> is to make sure the </w:t>
      </w:r>
      <w:r w:rsidR="00F6286F">
        <w:rPr>
          <w:color w:val="00B050"/>
          <w:szCs w:val="20"/>
        </w:rPr>
        <w:t xml:space="preserve">selected </w:t>
      </w:r>
      <w:r w:rsidR="00F25E1C">
        <w:rPr>
          <w:color w:val="00B050"/>
          <w:szCs w:val="20"/>
        </w:rPr>
        <w:t xml:space="preserve">analytical laboratory </w:t>
      </w:r>
      <w:r w:rsidR="003F72DD">
        <w:rPr>
          <w:color w:val="00B050"/>
          <w:szCs w:val="20"/>
        </w:rPr>
        <w:t xml:space="preserve">and method </w:t>
      </w:r>
      <w:r w:rsidR="008F4927">
        <w:rPr>
          <w:color w:val="00B050"/>
          <w:szCs w:val="20"/>
        </w:rPr>
        <w:t xml:space="preserve">can </w:t>
      </w:r>
      <w:r w:rsidR="00AD77C3">
        <w:rPr>
          <w:color w:val="00B050"/>
          <w:szCs w:val="20"/>
        </w:rPr>
        <w:t xml:space="preserve">provide </w:t>
      </w:r>
      <w:r w:rsidR="003F72DD">
        <w:rPr>
          <w:color w:val="00B050"/>
          <w:szCs w:val="20"/>
        </w:rPr>
        <w:t>accurate</w:t>
      </w:r>
      <w:r w:rsidR="00AD77C3">
        <w:rPr>
          <w:color w:val="00B050"/>
          <w:szCs w:val="20"/>
        </w:rPr>
        <w:t xml:space="preserve"> data (i.e., quantitative results with known precision and bias) </w:t>
      </w:r>
      <w:r>
        <w:rPr>
          <w:color w:val="00B050"/>
          <w:szCs w:val="20"/>
        </w:rPr>
        <w:t>at the Project Action Limit (PAL)</w:t>
      </w:r>
      <w:r w:rsidR="007F5E0F">
        <w:rPr>
          <w:color w:val="00B050"/>
          <w:szCs w:val="20"/>
        </w:rPr>
        <w:t xml:space="preserve">. </w:t>
      </w:r>
      <w:r w:rsidR="00AD77C3">
        <w:rPr>
          <w:color w:val="00B050"/>
          <w:szCs w:val="20"/>
        </w:rPr>
        <w:t xml:space="preserve">During </w:t>
      </w:r>
      <w:r w:rsidR="003F72DD">
        <w:rPr>
          <w:color w:val="00B050"/>
          <w:szCs w:val="20"/>
        </w:rPr>
        <w:t xml:space="preserve">the </w:t>
      </w:r>
      <w:r w:rsidR="00AD77C3">
        <w:rPr>
          <w:color w:val="00B050"/>
          <w:szCs w:val="20"/>
        </w:rPr>
        <w:t xml:space="preserve">systematic planning </w:t>
      </w:r>
      <w:r w:rsidR="003F72DD">
        <w:rPr>
          <w:color w:val="00B050"/>
          <w:szCs w:val="20"/>
        </w:rPr>
        <w:t>process</w:t>
      </w:r>
      <w:r w:rsidR="00AD77C3">
        <w:rPr>
          <w:color w:val="00B050"/>
          <w:szCs w:val="20"/>
        </w:rPr>
        <w:t>, identify</w:t>
      </w:r>
      <w:r w:rsidR="008F4927">
        <w:rPr>
          <w:color w:val="00B050"/>
          <w:szCs w:val="20"/>
        </w:rPr>
        <w:t xml:space="preserve"> target analytes, </w:t>
      </w:r>
      <w:r w:rsidR="00AD77C3">
        <w:rPr>
          <w:color w:val="00B050"/>
          <w:szCs w:val="20"/>
        </w:rPr>
        <w:t>PAL</w:t>
      </w:r>
      <w:r w:rsidR="003F72DD">
        <w:rPr>
          <w:color w:val="00B050"/>
          <w:szCs w:val="20"/>
        </w:rPr>
        <w:t>s</w:t>
      </w:r>
      <w:r w:rsidR="008F4927">
        <w:rPr>
          <w:color w:val="00B050"/>
          <w:szCs w:val="20"/>
        </w:rPr>
        <w:t xml:space="preserve">, and </w:t>
      </w:r>
      <w:r w:rsidR="00AD77C3">
        <w:rPr>
          <w:color w:val="00B050"/>
          <w:szCs w:val="20"/>
        </w:rPr>
        <w:t xml:space="preserve">the reference limits </w:t>
      </w:r>
      <w:r w:rsidR="003F72DD">
        <w:rPr>
          <w:color w:val="00B050"/>
          <w:szCs w:val="20"/>
        </w:rPr>
        <w:t>(e.g. regulatory limits or risk-based limits) o</w:t>
      </w:r>
      <w:r w:rsidR="00AD77C3">
        <w:rPr>
          <w:color w:val="00B050"/>
          <w:szCs w:val="20"/>
        </w:rPr>
        <w:t xml:space="preserve">n </w:t>
      </w:r>
      <w:r w:rsidR="007F5E0F">
        <w:rPr>
          <w:color w:val="00B050"/>
          <w:szCs w:val="20"/>
        </w:rPr>
        <w:t xml:space="preserve">which action limits are based. </w:t>
      </w:r>
      <w:r w:rsidR="00AD77C3">
        <w:rPr>
          <w:color w:val="00B050"/>
          <w:szCs w:val="20"/>
        </w:rPr>
        <w:t>(</w:t>
      </w:r>
      <w:r w:rsidR="00644615">
        <w:rPr>
          <w:color w:val="00B050"/>
          <w:szCs w:val="20"/>
        </w:rPr>
        <w:t xml:space="preserve">If more than one set of reference limits are applicable, add additional </w:t>
      </w:r>
      <w:r w:rsidR="007F5E0F">
        <w:rPr>
          <w:color w:val="00B050"/>
          <w:szCs w:val="20"/>
        </w:rPr>
        <w:t xml:space="preserve">columns.) </w:t>
      </w:r>
      <w:r w:rsidR="00B65792">
        <w:rPr>
          <w:color w:val="00B050"/>
          <w:szCs w:val="20"/>
        </w:rPr>
        <w:t xml:space="preserve">Target </w:t>
      </w:r>
      <w:proofErr w:type="spellStart"/>
      <w:r w:rsidR="00B65792">
        <w:rPr>
          <w:color w:val="00B050"/>
          <w:szCs w:val="20"/>
        </w:rPr>
        <w:t>analytes</w:t>
      </w:r>
      <w:proofErr w:type="spellEnd"/>
      <w:r w:rsidR="00B65792">
        <w:rPr>
          <w:color w:val="00B050"/>
          <w:szCs w:val="20"/>
        </w:rPr>
        <w:t xml:space="preserve"> that are critical to project-specific decision</w:t>
      </w:r>
      <w:r w:rsidR="007F5E0F">
        <w:rPr>
          <w:color w:val="00B050"/>
          <w:szCs w:val="20"/>
        </w:rPr>
        <w:t xml:space="preserve">-making should be highlighted. </w:t>
      </w:r>
      <w:r>
        <w:rPr>
          <w:color w:val="00B050"/>
          <w:szCs w:val="20"/>
        </w:rPr>
        <w:t>Next, d</w:t>
      </w:r>
      <w:r w:rsidR="00AD77C3">
        <w:rPr>
          <w:color w:val="00B050"/>
          <w:szCs w:val="20"/>
        </w:rPr>
        <w:t>etermine</w:t>
      </w:r>
      <w:r w:rsidR="003F72DD">
        <w:rPr>
          <w:color w:val="00B050"/>
          <w:szCs w:val="20"/>
        </w:rPr>
        <w:t xml:space="preserve"> the </w:t>
      </w:r>
      <w:r w:rsidR="00AF2D6C">
        <w:rPr>
          <w:color w:val="00B050"/>
          <w:szCs w:val="20"/>
        </w:rPr>
        <w:t xml:space="preserve">matrix-specific </w:t>
      </w:r>
      <w:r w:rsidR="007F5E0F">
        <w:rPr>
          <w:color w:val="00B050"/>
          <w:szCs w:val="20"/>
        </w:rPr>
        <w:t xml:space="preserve">quantitation limit goal. </w:t>
      </w:r>
      <w:r w:rsidR="00AF2D6C">
        <w:rPr>
          <w:color w:val="00B050"/>
          <w:szCs w:val="20"/>
        </w:rPr>
        <w:t>T</w:t>
      </w:r>
      <w:r w:rsidR="00AD77C3">
        <w:rPr>
          <w:color w:val="00B050"/>
          <w:szCs w:val="20"/>
        </w:rPr>
        <w:t>he quantitation limit goal should be lower than the PAL</w:t>
      </w:r>
      <w:r w:rsidR="00AF2D6C">
        <w:rPr>
          <w:color w:val="00B050"/>
          <w:szCs w:val="20"/>
        </w:rPr>
        <w:t xml:space="preserve"> by an amount determined the DQOs/PQOs</w:t>
      </w:r>
      <w:r w:rsidR="007F5E0F">
        <w:rPr>
          <w:color w:val="00B050"/>
          <w:szCs w:val="20"/>
        </w:rPr>
        <w:t xml:space="preserve">. </w:t>
      </w:r>
      <w:r w:rsidR="008F4927">
        <w:rPr>
          <w:color w:val="00B050"/>
          <w:szCs w:val="20"/>
        </w:rPr>
        <w:t xml:space="preserve">This information, along with the </w:t>
      </w:r>
      <w:r w:rsidR="00AF2D6C">
        <w:rPr>
          <w:color w:val="00B050"/>
          <w:szCs w:val="20"/>
        </w:rPr>
        <w:t>MPC</w:t>
      </w:r>
      <w:r w:rsidR="008F4927">
        <w:rPr>
          <w:color w:val="00B050"/>
          <w:szCs w:val="20"/>
        </w:rPr>
        <w:t xml:space="preserve"> documented on W</w:t>
      </w:r>
      <w:r w:rsidR="00F6286F">
        <w:rPr>
          <w:color w:val="00B050"/>
          <w:szCs w:val="20"/>
        </w:rPr>
        <w:t>orksheet</w:t>
      </w:r>
      <w:r w:rsidR="008F4927">
        <w:rPr>
          <w:color w:val="00B050"/>
          <w:szCs w:val="20"/>
        </w:rPr>
        <w:t xml:space="preserve"> </w:t>
      </w:r>
      <w:r w:rsidR="00AF2D6C">
        <w:rPr>
          <w:color w:val="00B050"/>
          <w:szCs w:val="20"/>
        </w:rPr>
        <w:t>#</w:t>
      </w:r>
      <w:r w:rsidR="008F4927">
        <w:rPr>
          <w:color w:val="00B050"/>
          <w:szCs w:val="20"/>
        </w:rPr>
        <w:t>12</w:t>
      </w:r>
      <w:r w:rsidR="00AF2D6C">
        <w:rPr>
          <w:color w:val="00B050"/>
          <w:szCs w:val="20"/>
        </w:rPr>
        <w:t>,</w:t>
      </w:r>
      <w:r w:rsidR="008F4927">
        <w:rPr>
          <w:color w:val="00B050"/>
          <w:szCs w:val="20"/>
        </w:rPr>
        <w:t xml:space="preserve"> should be used to select analyt</w:t>
      </w:r>
      <w:r w:rsidR="007F5E0F">
        <w:rPr>
          <w:color w:val="00B050"/>
          <w:szCs w:val="20"/>
        </w:rPr>
        <w:t xml:space="preserve">ical methods and laboratories. </w:t>
      </w:r>
      <w:r w:rsidR="008F4927">
        <w:rPr>
          <w:color w:val="00B050"/>
          <w:szCs w:val="20"/>
        </w:rPr>
        <w:t xml:space="preserve">Once the </w:t>
      </w:r>
      <w:r w:rsidR="00AD77C3">
        <w:rPr>
          <w:color w:val="00B050"/>
          <w:szCs w:val="20"/>
        </w:rPr>
        <w:t xml:space="preserve">methods and </w:t>
      </w:r>
      <w:r w:rsidR="008F4927">
        <w:rPr>
          <w:color w:val="00B050"/>
          <w:szCs w:val="20"/>
        </w:rPr>
        <w:t>laborator</w:t>
      </w:r>
      <w:r w:rsidR="00AF2D6C">
        <w:rPr>
          <w:color w:val="00B050"/>
          <w:szCs w:val="20"/>
        </w:rPr>
        <w:t>ies</w:t>
      </w:r>
      <w:r w:rsidR="008F4927">
        <w:rPr>
          <w:color w:val="00B050"/>
          <w:szCs w:val="20"/>
        </w:rPr>
        <w:t xml:space="preserve"> </w:t>
      </w:r>
      <w:r w:rsidR="00AD77C3">
        <w:rPr>
          <w:color w:val="00B050"/>
          <w:szCs w:val="20"/>
        </w:rPr>
        <w:t>have</w:t>
      </w:r>
      <w:r w:rsidR="008F4927">
        <w:rPr>
          <w:color w:val="00B050"/>
          <w:szCs w:val="20"/>
        </w:rPr>
        <w:t xml:space="preserve"> been selected, the remaining columns should be completed</w:t>
      </w:r>
      <w:r>
        <w:rPr>
          <w:color w:val="00B050"/>
          <w:szCs w:val="20"/>
        </w:rPr>
        <w:t xml:space="preserve"> with laboratory-specific informatio</w:t>
      </w:r>
      <w:r w:rsidR="007F5E0F">
        <w:rPr>
          <w:color w:val="00B050"/>
          <w:szCs w:val="20"/>
        </w:rPr>
        <w:t xml:space="preserve">n. </w:t>
      </w:r>
      <w:r w:rsidR="00AF2D6C">
        <w:rPr>
          <w:color w:val="00B050"/>
          <w:szCs w:val="20"/>
        </w:rPr>
        <w:t xml:space="preserve">Project teams need to keep in mind that the laboratory-specific quantitation limit is usually determined in reagent water; therefore, the </w:t>
      </w:r>
      <w:r w:rsidR="00000822">
        <w:rPr>
          <w:color w:val="00B050"/>
          <w:szCs w:val="20"/>
        </w:rPr>
        <w:t>Project Quantitation Limit Goal (</w:t>
      </w:r>
      <w:r w:rsidR="00AF2D6C">
        <w:rPr>
          <w:color w:val="00B050"/>
          <w:szCs w:val="20"/>
        </w:rPr>
        <w:t>matrix-specific quantitation limit</w:t>
      </w:r>
      <w:r w:rsidR="00000822">
        <w:rPr>
          <w:color w:val="00B050"/>
          <w:szCs w:val="20"/>
        </w:rPr>
        <w:t>)</w:t>
      </w:r>
      <w:r w:rsidR="00AF2D6C">
        <w:rPr>
          <w:color w:val="00B050"/>
          <w:szCs w:val="20"/>
        </w:rPr>
        <w:t xml:space="preserve"> </w:t>
      </w:r>
      <w:r w:rsidR="007F5E0F">
        <w:rPr>
          <w:color w:val="00B050"/>
          <w:szCs w:val="20"/>
        </w:rPr>
        <w:t xml:space="preserve">will be higher. </w:t>
      </w:r>
      <w:r>
        <w:rPr>
          <w:color w:val="00B050"/>
          <w:szCs w:val="20"/>
        </w:rPr>
        <w:t xml:space="preserve">Explanations should be provided in cases where the </w:t>
      </w:r>
      <w:r w:rsidR="005F555B">
        <w:rPr>
          <w:color w:val="00B050"/>
          <w:szCs w:val="20"/>
        </w:rPr>
        <w:t>quantitation limit</w:t>
      </w:r>
      <w:r>
        <w:rPr>
          <w:color w:val="00B050"/>
          <w:szCs w:val="20"/>
        </w:rPr>
        <w:t xml:space="preserve"> is greater than either the </w:t>
      </w:r>
      <w:r w:rsidR="00D96FE2">
        <w:rPr>
          <w:color w:val="00B050"/>
          <w:szCs w:val="20"/>
        </w:rPr>
        <w:t>p</w:t>
      </w:r>
      <w:r>
        <w:rPr>
          <w:color w:val="00B050"/>
          <w:szCs w:val="20"/>
        </w:rPr>
        <w:t xml:space="preserve">roject </w:t>
      </w:r>
      <w:r w:rsidR="00D96FE2">
        <w:rPr>
          <w:color w:val="00B050"/>
          <w:szCs w:val="20"/>
        </w:rPr>
        <w:t>q</w:t>
      </w:r>
      <w:r>
        <w:rPr>
          <w:color w:val="00B050"/>
          <w:szCs w:val="20"/>
        </w:rPr>
        <w:t xml:space="preserve">uantitation </w:t>
      </w:r>
      <w:r w:rsidR="00D96FE2">
        <w:rPr>
          <w:color w:val="00B050"/>
          <w:szCs w:val="20"/>
        </w:rPr>
        <w:t>limit g</w:t>
      </w:r>
      <w:r w:rsidR="007F5E0F">
        <w:rPr>
          <w:color w:val="00B050"/>
          <w:szCs w:val="20"/>
        </w:rPr>
        <w:t xml:space="preserve">oal or the PAL. </w:t>
      </w:r>
      <w:r w:rsidR="00196961">
        <w:rPr>
          <w:color w:val="00B050"/>
          <w:szCs w:val="20"/>
        </w:rPr>
        <w:t xml:space="preserve">The laboratory </w:t>
      </w:r>
      <w:r w:rsidR="003F72DD">
        <w:rPr>
          <w:color w:val="00B050"/>
          <w:szCs w:val="20"/>
        </w:rPr>
        <w:t>must</w:t>
      </w:r>
      <w:r w:rsidR="00196961">
        <w:rPr>
          <w:color w:val="00B050"/>
          <w:szCs w:val="20"/>
        </w:rPr>
        <w:t xml:space="preserve"> provide documentation that demonstrates precision and bias at </w:t>
      </w:r>
      <w:r w:rsidR="00AF2D6C">
        <w:rPr>
          <w:color w:val="00B050"/>
          <w:szCs w:val="20"/>
        </w:rPr>
        <w:t>the</w:t>
      </w:r>
      <w:r w:rsidR="003F72DD">
        <w:rPr>
          <w:color w:val="00B050"/>
          <w:szCs w:val="20"/>
        </w:rPr>
        <w:t xml:space="preserve"> </w:t>
      </w:r>
      <w:r w:rsidR="00D96FE2">
        <w:rPr>
          <w:color w:val="00B050"/>
          <w:szCs w:val="20"/>
        </w:rPr>
        <w:t xml:space="preserve">laboratory-specific </w:t>
      </w:r>
      <w:r w:rsidR="00AF2D6C">
        <w:rPr>
          <w:color w:val="00B050"/>
          <w:szCs w:val="20"/>
        </w:rPr>
        <w:t>quantitation limit</w:t>
      </w:r>
      <w:r w:rsidR="007F5E0F">
        <w:rPr>
          <w:color w:val="00B050"/>
          <w:szCs w:val="20"/>
        </w:rPr>
        <w:t xml:space="preserve">. </w:t>
      </w:r>
      <w:r w:rsidR="00196961">
        <w:rPr>
          <w:color w:val="00B050"/>
          <w:szCs w:val="20"/>
        </w:rPr>
        <w:t xml:space="preserve">The </w:t>
      </w:r>
      <w:r w:rsidR="003F72DD">
        <w:rPr>
          <w:color w:val="00B050"/>
          <w:szCs w:val="20"/>
        </w:rPr>
        <w:t>laboratory</w:t>
      </w:r>
      <w:r w:rsidR="00D96FE2">
        <w:rPr>
          <w:color w:val="00B050"/>
          <w:szCs w:val="20"/>
        </w:rPr>
        <w:t xml:space="preserve">-specific </w:t>
      </w:r>
      <w:r w:rsidR="00AF2D6C">
        <w:rPr>
          <w:color w:val="00B050"/>
          <w:szCs w:val="20"/>
        </w:rPr>
        <w:t xml:space="preserve">quantitation limit </w:t>
      </w:r>
      <w:r w:rsidR="00D96FE2">
        <w:rPr>
          <w:color w:val="00B050"/>
          <w:szCs w:val="20"/>
        </w:rPr>
        <w:t>can</w:t>
      </w:r>
      <w:r w:rsidR="00196961">
        <w:rPr>
          <w:color w:val="00B050"/>
          <w:szCs w:val="20"/>
        </w:rPr>
        <w:t>not be lower than the lowest calibration standard for any given method</w:t>
      </w:r>
      <w:r w:rsidR="003F72DD">
        <w:rPr>
          <w:color w:val="00B050"/>
          <w:szCs w:val="20"/>
        </w:rPr>
        <w:t xml:space="preserve"> and analyte</w:t>
      </w:r>
      <w:r w:rsidR="00196961">
        <w:rPr>
          <w:color w:val="00B050"/>
          <w:szCs w:val="20"/>
        </w:rPr>
        <w:t>.</w:t>
      </w:r>
    </w:p>
    <w:p w:rsidR="00196961" w:rsidRPr="00196961" w:rsidRDefault="00196961" w:rsidP="00223128">
      <w:pPr>
        <w:spacing w:after="0"/>
        <w:rPr>
          <w:szCs w:val="20"/>
        </w:rPr>
      </w:pPr>
      <w:r w:rsidRPr="00196961">
        <w:rPr>
          <w:szCs w:val="20"/>
        </w:rPr>
        <w:t>Matrix:</w:t>
      </w:r>
      <w:r w:rsidR="001D5CC5">
        <w:rPr>
          <w:szCs w:val="20"/>
        </w:rPr>
        <w:t xml:space="preserve"> </w:t>
      </w:r>
      <w:r w:rsidR="001D5CC5" w:rsidRPr="001D5CC5">
        <w:rPr>
          <w:color w:val="4F81BD" w:themeColor="accent1"/>
          <w:szCs w:val="20"/>
        </w:rPr>
        <w:t>Soil</w:t>
      </w:r>
    </w:p>
    <w:p w:rsidR="00196961" w:rsidRPr="00196961" w:rsidRDefault="00196961" w:rsidP="00223128">
      <w:pPr>
        <w:spacing w:after="0"/>
        <w:rPr>
          <w:szCs w:val="20"/>
        </w:rPr>
      </w:pPr>
      <w:r w:rsidRPr="00196961">
        <w:rPr>
          <w:szCs w:val="20"/>
        </w:rPr>
        <w:t>Analyt</w:t>
      </w:r>
      <w:r w:rsidR="003F72DD">
        <w:rPr>
          <w:szCs w:val="20"/>
        </w:rPr>
        <w:t>ical Method</w:t>
      </w:r>
      <w:r w:rsidRPr="00196961">
        <w:rPr>
          <w:szCs w:val="20"/>
        </w:rPr>
        <w:t>:</w:t>
      </w:r>
      <w:r w:rsidR="001D5CC5">
        <w:rPr>
          <w:szCs w:val="20"/>
        </w:rPr>
        <w:t xml:space="preserve"> </w:t>
      </w:r>
      <w:r w:rsidR="001D5CC5" w:rsidRPr="001D5CC5">
        <w:rPr>
          <w:color w:val="4F81BD" w:themeColor="accent1"/>
          <w:szCs w:val="20"/>
        </w:rPr>
        <w:t>8260</w:t>
      </w:r>
    </w:p>
    <w:p w:rsidR="00196961" w:rsidRPr="00196961" w:rsidRDefault="00196961" w:rsidP="00223128">
      <w:pPr>
        <w:spacing w:after="0"/>
        <w:rPr>
          <w:szCs w:val="20"/>
        </w:rPr>
      </w:pPr>
      <w:r w:rsidRPr="00196961">
        <w:rPr>
          <w:szCs w:val="20"/>
        </w:rPr>
        <w:t>Concentration level</w:t>
      </w:r>
      <w:r w:rsidR="008261ED">
        <w:rPr>
          <w:szCs w:val="20"/>
        </w:rPr>
        <w:t xml:space="preserve"> (if applicable)</w:t>
      </w:r>
      <w:r w:rsidRPr="00196961">
        <w:rPr>
          <w:szCs w:val="2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Project Action Limits and Laboratory-Specific Detection/Quantitation Limits"/>
        <w:tblDescription w:val="This table is for listing Project Action Limits and laboratory-specific detection/quantitation limits."/>
      </w:tblPr>
      <w:tblGrid>
        <w:gridCol w:w="2093"/>
        <w:gridCol w:w="1705"/>
        <w:gridCol w:w="1980"/>
        <w:gridCol w:w="1980"/>
        <w:gridCol w:w="1921"/>
        <w:gridCol w:w="1607"/>
      </w:tblGrid>
      <w:tr w:rsidR="001D5CC5" w:rsidRPr="00F6286F" w:rsidTr="00E60BF0">
        <w:trPr>
          <w:tblHeader/>
        </w:trPr>
        <w:tc>
          <w:tcPr>
            <w:tcW w:w="2093" w:type="dxa"/>
            <w:vAlign w:val="center"/>
          </w:tcPr>
          <w:p w:rsidR="001D5CC5" w:rsidRPr="005F555B" w:rsidRDefault="001D5CC5" w:rsidP="00F6286F">
            <w:pPr>
              <w:jc w:val="center"/>
              <w:rPr>
                <w:b/>
              </w:rPr>
            </w:pPr>
            <w:proofErr w:type="spellStart"/>
            <w:r w:rsidRPr="005F555B">
              <w:rPr>
                <w:b/>
              </w:rPr>
              <w:t>Analyte</w:t>
            </w:r>
            <w:proofErr w:type="spellEnd"/>
          </w:p>
        </w:tc>
        <w:tc>
          <w:tcPr>
            <w:tcW w:w="1705" w:type="dxa"/>
            <w:vAlign w:val="center"/>
          </w:tcPr>
          <w:p w:rsidR="001D5CC5" w:rsidRPr="005F555B" w:rsidRDefault="001D5CC5" w:rsidP="00F6286F">
            <w:pPr>
              <w:jc w:val="center"/>
              <w:rPr>
                <w:b/>
              </w:rPr>
            </w:pPr>
            <w:r w:rsidRPr="005F555B">
              <w:rPr>
                <w:b/>
              </w:rPr>
              <w:t>Project Action Limit</w:t>
            </w:r>
            <w:r>
              <w:rPr>
                <w:b/>
              </w:rPr>
              <w:t xml:space="preserve"> (PAL)</w:t>
            </w:r>
          </w:p>
        </w:tc>
        <w:tc>
          <w:tcPr>
            <w:tcW w:w="1980" w:type="dxa"/>
          </w:tcPr>
          <w:p w:rsidR="001D5CC5" w:rsidRDefault="001D5CC5" w:rsidP="008261ED">
            <w:pPr>
              <w:jc w:val="center"/>
              <w:rPr>
                <w:b/>
              </w:rPr>
            </w:pPr>
          </w:p>
          <w:p w:rsidR="001D5CC5" w:rsidRPr="005F555B" w:rsidRDefault="001D5CC5" w:rsidP="008261ED">
            <w:pPr>
              <w:jc w:val="center"/>
              <w:rPr>
                <w:b/>
              </w:rPr>
            </w:pPr>
            <w:r>
              <w:rPr>
                <w:b/>
              </w:rPr>
              <w:t xml:space="preserve"> PAL </w:t>
            </w:r>
            <w:r w:rsidRPr="005F555B">
              <w:rPr>
                <w:b/>
              </w:rPr>
              <w:t>Reference</w:t>
            </w:r>
          </w:p>
        </w:tc>
        <w:tc>
          <w:tcPr>
            <w:tcW w:w="1980" w:type="dxa"/>
            <w:vAlign w:val="center"/>
          </w:tcPr>
          <w:p w:rsidR="001D5CC5" w:rsidRPr="005F555B" w:rsidRDefault="001D5CC5" w:rsidP="00F6286F">
            <w:pPr>
              <w:jc w:val="center"/>
              <w:rPr>
                <w:b/>
              </w:rPr>
            </w:pPr>
            <w:r w:rsidRPr="005F555B">
              <w:rPr>
                <w:b/>
              </w:rPr>
              <w:t>Project Quantitation Limit Goal</w:t>
            </w:r>
          </w:p>
        </w:tc>
        <w:tc>
          <w:tcPr>
            <w:tcW w:w="1921" w:type="dxa"/>
            <w:vAlign w:val="center"/>
          </w:tcPr>
          <w:p w:rsidR="001D5CC5" w:rsidRPr="005F555B" w:rsidRDefault="001D5CC5" w:rsidP="008261ED">
            <w:pPr>
              <w:jc w:val="center"/>
              <w:rPr>
                <w:b/>
              </w:rPr>
            </w:pPr>
            <w:r w:rsidRPr="005F555B">
              <w:rPr>
                <w:b/>
              </w:rPr>
              <w:t>Laboratory-specific</w:t>
            </w:r>
            <w:r w:rsidRPr="005F555B">
              <w:rPr>
                <w:rStyle w:val="FootnoteReference"/>
                <w:b/>
              </w:rPr>
              <w:t xml:space="preserve"> </w:t>
            </w:r>
            <w:r w:rsidRPr="005F555B">
              <w:rPr>
                <w:b/>
              </w:rPr>
              <w:t>quantitation limit</w:t>
            </w:r>
            <w:r w:rsidRPr="005F555B">
              <w:rPr>
                <w:rStyle w:val="FootnoteReference"/>
                <w:b/>
              </w:rPr>
              <w:footnoteReference w:id="1"/>
            </w:r>
          </w:p>
        </w:tc>
        <w:tc>
          <w:tcPr>
            <w:tcW w:w="1607" w:type="dxa"/>
            <w:vAlign w:val="center"/>
          </w:tcPr>
          <w:p w:rsidR="001D5CC5" w:rsidRPr="005F555B" w:rsidRDefault="007F5E0F" w:rsidP="00D96FE2">
            <w:pPr>
              <w:jc w:val="center"/>
              <w:rPr>
                <w:b/>
              </w:rPr>
            </w:pPr>
            <w:r>
              <w:rPr>
                <w:b/>
              </w:rPr>
              <w:t xml:space="preserve">Laboratory-specific </w:t>
            </w:r>
            <w:r w:rsidR="001D5CC5" w:rsidRPr="005F555B">
              <w:rPr>
                <w:b/>
              </w:rPr>
              <w:t>detection limit</w:t>
            </w:r>
            <w:r w:rsidR="001D5CC5" w:rsidRPr="005F555B">
              <w:rPr>
                <w:rStyle w:val="FootnoteReference"/>
                <w:b/>
              </w:rPr>
              <w:footnoteReference w:id="2"/>
            </w:r>
          </w:p>
        </w:tc>
      </w:tr>
      <w:tr w:rsidR="001D5CC5" w:rsidTr="008261ED">
        <w:tc>
          <w:tcPr>
            <w:tcW w:w="2093" w:type="dxa"/>
          </w:tcPr>
          <w:p w:rsidR="001D5CC5" w:rsidRPr="001D5CC5" w:rsidRDefault="001D5CC5" w:rsidP="001D5CC5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1D5CC5">
              <w:rPr>
                <w:color w:val="4F81BD" w:themeColor="accent1"/>
                <w:sz w:val="20"/>
                <w:szCs w:val="20"/>
              </w:rPr>
              <w:t>Benzene</w:t>
            </w:r>
          </w:p>
        </w:tc>
        <w:tc>
          <w:tcPr>
            <w:tcW w:w="1705" w:type="dxa"/>
            <w:vAlign w:val="center"/>
          </w:tcPr>
          <w:p w:rsidR="001D5CC5" w:rsidRPr="001D5CC5" w:rsidRDefault="001D5CC5" w:rsidP="001D5CC5">
            <w:pPr>
              <w:jc w:val="center"/>
              <w:rPr>
                <w:color w:val="4F81BD" w:themeColor="accent1"/>
                <w:sz w:val="20"/>
                <w:szCs w:val="20"/>
              </w:rPr>
            </w:pPr>
            <w:r w:rsidRPr="001D5CC5">
              <w:rPr>
                <w:color w:val="4F81BD" w:themeColor="accent1"/>
                <w:sz w:val="20"/>
                <w:szCs w:val="20"/>
              </w:rPr>
              <w:t>5.0 mg/Kg dry weight</w:t>
            </w:r>
          </w:p>
        </w:tc>
        <w:tc>
          <w:tcPr>
            <w:tcW w:w="1980" w:type="dxa"/>
          </w:tcPr>
          <w:p w:rsidR="001D5CC5" w:rsidRPr="001D5CC5" w:rsidRDefault="001D5CC5" w:rsidP="001D5CC5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1D5CC5">
              <w:rPr>
                <w:color w:val="4F81BD" w:themeColor="accent1"/>
                <w:sz w:val="20"/>
                <w:szCs w:val="20"/>
              </w:rPr>
              <w:t>2003 Region 3 BTAG</w:t>
            </w:r>
          </w:p>
        </w:tc>
        <w:tc>
          <w:tcPr>
            <w:tcW w:w="1980" w:type="dxa"/>
            <w:vAlign w:val="center"/>
          </w:tcPr>
          <w:p w:rsidR="001D5CC5" w:rsidRPr="001D5CC5" w:rsidRDefault="001D5CC5" w:rsidP="001D5CC5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1D5CC5">
              <w:rPr>
                <w:color w:val="4F81BD" w:themeColor="accent1"/>
                <w:sz w:val="20"/>
                <w:szCs w:val="20"/>
              </w:rPr>
              <w:t>2.0 mg/Kg dry weight</w:t>
            </w:r>
          </w:p>
        </w:tc>
        <w:tc>
          <w:tcPr>
            <w:tcW w:w="1921" w:type="dxa"/>
          </w:tcPr>
          <w:p w:rsidR="001D5CC5" w:rsidRPr="001D5CC5" w:rsidRDefault="001D5CC5" w:rsidP="001D5CC5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1D5CC5">
              <w:rPr>
                <w:color w:val="4F81BD" w:themeColor="accent1"/>
                <w:sz w:val="20"/>
                <w:szCs w:val="20"/>
              </w:rPr>
              <w:t>1.0 mg/Kg</w:t>
            </w:r>
          </w:p>
        </w:tc>
        <w:tc>
          <w:tcPr>
            <w:tcW w:w="1607" w:type="dxa"/>
          </w:tcPr>
          <w:p w:rsidR="001D5CC5" w:rsidRPr="001D5CC5" w:rsidRDefault="001D5CC5" w:rsidP="001D5CC5">
            <w:pPr>
              <w:spacing w:line="360" w:lineRule="auto"/>
              <w:jc w:val="center"/>
              <w:rPr>
                <w:color w:val="4F81BD" w:themeColor="accent1"/>
                <w:sz w:val="20"/>
                <w:szCs w:val="20"/>
              </w:rPr>
            </w:pPr>
            <w:r w:rsidRPr="001D5CC5">
              <w:rPr>
                <w:color w:val="4F81BD" w:themeColor="accent1"/>
                <w:sz w:val="20"/>
                <w:szCs w:val="20"/>
              </w:rPr>
              <w:t>0.1 mg/Kg</w:t>
            </w:r>
          </w:p>
        </w:tc>
      </w:tr>
    </w:tbl>
    <w:p w:rsidR="00223128" w:rsidRDefault="00223128" w:rsidP="005F555B">
      <w:pPr>
        <w:spacing w:after="0"/>
      </w:pPr>
    </w:p>
    <w:sectPr w:rsidR="00223128" w:rsidSect="003504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FF0" w:rsidRDefault="00A22FF0" w:rsidP="00FF0C16">
      <w:pPr>
        <w:spacing w:after="0" w:line="240" w:lineRule="auto"/>
      </w:pPr>
      <w:r>
        <w:separator/>
      </w:r>
    </w:p>
  </w:endnote>
  <w:endnote w:type="continuationSeparator" w:id="0">
    <w:p w:rsidR="00A22FF0" w:rsidRDefault="00A22FF0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BF0" w:rsidRDefault="00E60B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BF0" w:rsidRDefault="00E60B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BF0" w:rsidRDefault="00E60B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FF0" w:rsidRDefault="00A22FF0" w:rsidP="00FF0C16">
      <w:pPr>
        <w:spacing w:after="0" w:line="240" w:lineRule="auto"/>
      </w:pPr>
      <w:r>
        <w:separator/>
      </w:r>
    </w:p>
  </w:footnote>
  <w:footnote w:type="continuationSeparator" w:id="0">
    <w:p w:rsidR="00A22FF0" w:rsidRDefault="00A22FF0" w:rsidP="00FF0C16">
      <w:pPr>
        <w:spacing w:after="0" w:line="240" w:lineRule="auto"/>
      </w:pPr>
      <w:r>
        <w:continuationSeparator/>
      </w:r>
    </w:p>
  </w:footnote>
  <w:footnote w:id="1">
    <w:p w:rsidR="001D5CC5" w:rsidRDefault="001D5CC5">
      <w:pPr>
        <w:pStyle w:val="FootnoteText"/>
      </w:pPr>
      <w:r>
        <w:rPr>
          <w:rStyle w:val="FootnoteReference"/>
        </w:rPr>
        <w:footnoteRef/>
      </w:r>
      <w:r>
        <w:t xml:space="preserve"> Define quantitation limit terminology used by the project/laboratory</w:t>
      </w:r>
    </w:p>
  </w:footnote>
  <w:footnote w:id="2">
    <w:p w:rsidR="001D5CC5" w:rsidRDefault="001D5CC5">
      <w:pPr>
        <w:pStyle w:val="FootnoteText"/>
      </w:pPr>
      <w:r>
        <w:rPr>
          <w:rStyle w:val="FootnoteReference"/>
        </w:rPr>
        <w:footnoteRef/>
      </w:r>
      <w:r>
        <w:t xml:space="preserve"> Define detection limit terminology used by the project/laboratory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BF0" w:rsidRDefault="00E60B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565053189"/>
      <w:docPartObj>
        <w:docPartGallery w:val="Page Numbers (Top of Page)"/>
        <w:docPartUnique/>
      </w:docPartObj>
    </w:sdtPr>
    <w:sdtEndPr/>
    <w:sdtContent>
      <w:p w:rsidR="00196961" w:rsidRPr="00143222" w:rsidRDefault="00196961">
        <w:pPr>
          <w:pStyle w:val="Header"/>
          <w:jc w:val="right"/>
          <w:rPr>
            <w:sz w:val="20"/>
            <w:szCs w:val="20"/>
          </w:rPr>
        </w:pPr>
        <w:r w:rsidRPr="00143222">
          <w:rPr>
            <w:sz w:val="20"/>
            <w:szCs w:val="20"/>
          </w:rPr>
          <w:t>Title:</w:t>
        </w:r>
      </w:p>
      <w:p w:rsidR="00196961" w:rsidRPr="00143222" w:rsidRDefault="00196961">
        <w:pPr>
          <w:pStyle w:val="Header"/>
          <w:jc w:val="right"/>
          <w:rPr>
            <w:sz w:val="20"/>
            <w:szCs w:val="20"/>
          </w:rPr>
        </w:pPr>
        <w:r w:rsidRPr="00143222">
          <w:rPr>
            <w:sz w:val="20"/>
            <w:szCs w:val="20"/>
          </w:rPr>
          <w:t>Revision Number:</w:t>
        </w:r>
      </w:p>
      <w:p w:rsidR="00196961" w:rsidRPr="00143222" w:rsidRDefault="00196961">
        <w:pPr>
          <w:pStyle w:val="Header"/>
          <w:jc w:val="right"/>
          <w:rPr>
            <w:sz w:val="20"/>
            <w:szCs w:val="20"/>
          </w:rPr>
        </w:pPr>
        <w:r w:rsidRPr="00143222">
          <w:rPr>
            <w:sz w:val="20"/>
            <w:szCs w:val="20"/>
          </w:rPr>
          <w:t>Revision Date:</w:t>
        </w:r>
      </w:p>
      <w:p w:rsidR="00196961" w:rsidRPr="00143222" w:rsidRDefault="00196961">
        <w:pPr>
          <w:pStyle w:val="Header"/>
          <w:jc w:val="right"/>
          <w:rPr>
            <w:sz w:val="20"/>
            <w:szCs w:val="20"/>
          </w:rPr>
        </w:pPr>
        <w:r w:rsidRPr="00143222">
          <w:rPr>
            <w:sz w:val="20"/>
            <w:szCs w:val="20"/>
          </w:rPr>
          <w:t xml:space="preserve">Page </w:t>
        </w:r>
        <w:r w:rsidR="00C4057B" w:rsidRPr="00143222">
          <w:rPr>
            <w:b/>
            <w:sz w:val="20"/>
            <w:szCs w:val="20"/>
          </w:rPr>
          <w:fldChar w:fldCharType="begin"/>
        </w:r>
        <w:r w:rsidRPr="00143222">
          <w:rPr>
            <w:b/>
            <w:sz w:val="20"/>
            <w:szCs w:val="20"/>
          </w:rPr>
          <w:instrText xml:space="preserve"> PAGE </w:instrText>
        </w:r>
        <w:r w:rsidR="00C4057B" w:rsidRPr="00143222">
          <w:rPr>
            <w:b/>
            <w:sz w:val="20"/>
            <w:szCs w:val="20"/>
          </w:rPr>
          <w:fldChar w:fldCharType="separate"/>
        </w:r>
        <w:r w:rsidR="00E60BF0">
          <w:rPr>
            <w:b/>
            <w:noProof/>
            <w:sz w:val="20"/>
            <w:szCs w:val="20"/>
          </w:rPr>
          <w:t>1</w:t>
        </w:r>
        <w:r w:rsidR="00C4057B" w:rsidRPr="00143222">
          <w:rPr>
            <w:b/>
            <w:sz w:val="20"/>
            <w:szCs w:val="20"/>
          </w:rPr>
          <w:fldChar w:fldCharType="end"/>
        </w:r>
        <w:r w:rsidRPr="00143222">
          <w:rPr>
            <w:sz w:val="20"/>
            <w:szCs w:val="20"/>
          </w:rPr>
          <w:t xml:space="preserve"> of </w:t>
        </w:r>
        <w:r w:rsidR="00C4057B" w:rsidRPr="00143222">
          <w:rPr>
            <w:b/>
            <w:sz w:val="20"/>
            <w:szCs w:val="20"/>
          </w:rPr>
          <w:fldChar w:fldCharType="begin"/>
        </w:r>
        <w:r w:rsidRPr="00143222">
          <w:rPr>
            <w:b/>
            <w:sz w:val="20"/>
            <w:szCs w:val="20"/>
          </w:rPr>
          <w:instrText xml:space="preserve"> NUMPAGES  </w:instrText>
        </w:r>
        <w:r w:rsidR="00C4057B" w:rsidRPr="00143222">
          <w:rPr>
            <w:b/>
            <w:sz w:val="20"/>
            <w:szCs w:val="20"/>
          </w:rPr>
          <w:fldChar w:fldCharType="separate"/>
        </w:r>
        <w:r w:rsidR="00E60BF0">
          <w:rPr>
            <w:b/>
            <w:noProof/>
            <w:sz w:val="20"/>
            <w:szCs w:val="20"/>
          </w:rPr>
          <w:t>1</w:t>
        </w:r>
        <w:r w:rsidR="00C4057B" w:rsidRPr="00143222">
          <w:rPr>
            <w:b/>
            <w:sz w:val="20"/>
            <w:szCs w:val="20"/>
          </w:rPr>
          <w:fldChar w:fldCharType="end"/>
        </w:r>
      </w:p>
    </w:sdtContent>
  </w:sdt>
  <w:p w:rsidR="00196961" w:rsidRDefault="001969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BF0" w:rsidRDefault="00E60B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A711D"/>
    <w:multiLevelType w:val="hybridMultilevel"/>
    <w:tmpl w:val="4930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00822"/>
    <w:rsid w:val="000147AE"/>
    <w:rsid w:val="00064366"/>
    <w:rsid w:val="000C6E83"/>
    <w:rsid w:val="000F6FB2"/>
    <w:rsid w:val="001151CE"/>
    <w:rsid w:val="00143222"/>
    <w:rsid w:val="00190489"/>
    <w:rsid w:val="00196961"/>
    <w:rsid w:val="001D5CC5"/>
    <w:rsid w:val="00216BF1"/>
    <w:rsid w:val="00223128"/>
    <w:rsid w:val="00296F32"/>
    <w:rsid w:val="002D1D52"/>
    <w:rsid w:val="002E44E2"/>
    <w:rsid w:val="00332EF5"/>
    <w:rsid w:val="00342920"/>
    <w:rsid w:val="0035042F"/>
    <w:rsid w:val="00397544"/>
    <w:rsid w:val="003B65F7"/>
    <w:rsid w:val="003B7622"/>
    <w:rsid w:val="003C09DA"/>
    <w:rsid w:val="003C2A7C"/>
    <w:rsid w:val="003C5050"/>
    <w:rsid w:val="003F72DD"/>
    <w:rsid w:val="00402B16"/>
    <w:rsid w:val="00417E3A"/>
    <w:rsid w:val="004512C3"/>
    <w:rsid w:val="00487BBF"/>
    <w:rsid w:val="004A74B9"/>
    <w:rsid w:val="004B21AD"/>
    <w:rsid w:val="004F69D6"/>
    <w:rsid w:val="00511E6B"/>
    <w:rsid w:val="005320CB"/>
    <w:rsid w:val="00561C26"/>
    <w:rsid w:val="00594380"/>
    <w:rsid w:val="005A77C5"/>
    <w:rsid w:val="005D4D70"/>
    <w:rsid w:val="005F555B"/>
    <w:rsid w:val="00644615"/>
    <w:rsid w:val="006862BF"/>
    <w:rsid w:val="006919AF"/>
    <w:rsid w:val="00713B7E"/>
    <w:rsid w:val="007C61F6"/>
    <w:rsid w:val="007F5E0F"/>
    <w:rsid w:val="008261ED"/>
    <w:rsid w:val="00833848"/>
    <w:rsid w:val="0084193C"/>
    <w:rsid w:val="00890C61"/>
    <w:rsid w:val="008B09B2"/>
    <w:rsid w:val="008D0088"/>
    <w:rsid w:val="008D7C00"/>
    <w:rsid w:val="008F0996"/>
    <w:rsid w:val="008F4927"/>
    <w:rsid w:val="00910505"/>
    <w:rsid w:val="00916291"/>
    <w:rsid w:val="00925C3C"/>
    <w:rsid w:val="00947B9E"/>
    <w:rsid w:val="0096117B"/>
    <w:rsid w:val="00985430"/>
    <w:rsid w:val="009C74BD"/>
    <w:rsid w:val="00A22FF0"/>
    <w:rsid w:val="00A57C3F"/>
    <w:rsid w:val="00AD77C3"/>
    <w:rsid w:val="00AE0C40"/>
    <w:rsid w:val="00AF2D6C"/>
    <w:rsid w:val="00B01C25"/>
    <w:rsid w:val="00B65792"/>
    <w:rsid w:val="00B712D1"/>
    <w:rsid w:val="00BA25DD"/>
    <w:rsid w:val="00BD127B"/>
    <w:rsid w:val="00C011CE"/>
    <w:rsid w:val="00C21E2B"/>
    <w:rsid w:val="00C311B2"/>
    <w:rsid w:val="00C4057B"/>
    <w:rsid w:val="00C603A7"/>
    <w:rsid w:val="00C6140F"/>
    <w:rsid w:val="00C73291"/>
    <w:rsid w:val="00C87936"/>
    <w:rsid w:val="00CC1C9B"/>
    <w:rsid w:val="00D06A0D"/>
    <w:rsid w:val="00D9587C"/>
    <w:rsid w:val="00D96FE2"/>
    <w:rsid w:val="00DA6642"/>
    <w:rsid w:val="00DB49F4"/>
    <w:rsid w:val="00DD1D47"/>
    <w:rsid w:val="00DD318E"/>
    <w:rsid w:val="00E57268"/>
    <w:rsid w:val="00E60BF0"/>
    <w:rsid w:val="00E953BD"/>
    <w:rsid w:val="00EB3ECA"/>
    <w:rsid w:val="00EF6842"/>
    <w:rsid w:val="00F243B4"/>
    <w:rsid w:val="00F25E1C"/>
    <w:rsid w:val="00F6286F"/>
    <w:rsid w:val="00FC287C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  <w:style w:type="table" w:styleId="TableGrid">
    <w:name w:val="Table Grid"/>
    <w:basedOn w:val="TableNormal"/>
    <w:uiPriority w:val="59"/>
    <w:rsid w:val="00C732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732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32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732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0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D2AFE-56A5-4B0A-9751-16EC9C781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#15: Project Action Limits and Laboratory-Specific Detection/Quantitation Limits</vt:lpstr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#15: Project Action Limits and Laboratory-Specific Detection/Quantitation Limits</dc:title>
  <dc:subject>This worksheet should be completed for each matrix, analyte, analytical method, and concentration level (if applicable).</dc:subject>
  <dc:creator>US EPA;US Department of Defense;US Department of Energy</dc:creator>
  <cp:keywords>analyte, project action limit, PAL, PAL reference, quantitation limit, detection limit</cp:keywords>
  <cp:lastModifiedBy>Kevin O'Donovan</cp:lastModifiedBy>
  <cp:revision>5</cp:revision>
  <dcterms:created xsi:type="dcterms:W3CDTF">2012-05-07T13:50:00Z</dcterms:created>
  <dcterms:modified xsi:type="dcterms:W3CDTF">2012-05-07T13:57:00Z</dcterms:modified>
</cp:coreProperties>
</file>