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C243E1" w:rsidP="00332EF5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QAPP Worksheet #23</w:t>
      </w:r>
      <w:r w:rsidR="00204A80">
        <w:rPr>
          <w:b/>
        </w:rPr>
        <w:t xml:space="preserve">: </w:t>
      </w:r>
      <w:r w:rsidR="00F11E6C">
        <w:rPr>
          <w:b/>
        </w:rPr>
        <w:t>Analytical SOP’s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34373E">
        <w:rPr>
          <w:b/>
        </w:rPr>
        <w:t xml:space="preserve">Manual </w:t>
      </w:r>
      <w:r w:rsidRPr="00332EF5">
        <w:rPr>
          <w:b/>
        </w:rPr>
        <w:t>Section</w:t>
      </w:r>
      <w:r w:rsidR="00EF6842">
        <w:rPr>
          <w:b/>
        </w:rPr>
        <w:t xml:space="preserve"> </w:t>
      </w:r>
      <w:r w:rsidR="00296F32">
        <w:rPr>
          <w:b/>
        </w:rPr>
        <w:t>3.</w:t>
      </w:r>
      <w:r w:rsidR="00C243E1">
        <w:rPr>
          <w:b/>
        </w:rPr>
        <w:t>2.1</w:t>
      </w:r>
      <w:r w:rsidRPr="00332EF5">
        <w:rPr>
          <w:b/>
        </w:rPr>
        <w:t>)</w:t>
      </w:r>
    </w:p>
    <w:p w:rsidR="00332EF5" w:rsidRDefault="0034373E" w:rsidP="00332EF5">
      <w:pPr>
        <w:spacing w:after="0"/>
        <w:jc w:val="center"/>
      </w:pPr>
      <w:r>
        <w:rPr>
          <w:b/>
        </w:rPr>
        <w:t>(EPA 2106-G-05 Section 2.3.4)</w:t>
      </w:r>
    </w:p>
    <w:p w:rsidR="00737165" w:rsidRDefault="00530548" w:rsidP="00737165">
      <w:pPr>
        <w:spacing w:after="0"/>
      </w:pPr>
      <w:r>
        <w:rPr>
          <w:color w:val="00B050"/>
          <w:szCs w:val="20"/>
        </w:rPr>
        <w:t xml:space="preserve">This worksheet </w:t>
      </w:r>
      <w:r w:rsidR="005424A7">
        <w:rPr>
          <w:color w:val="00B050"/>
          <w:szCs w:val="20"/>
        </w:rPr>
        <w:t xml:space="preserve">documents </w:t>
      </w:r>
      <w:r w:rsidR="00F65AE0">
        <w:rPr>
          <w:color w:val="00B050"/>
          <w:szCs w:val="20"/>
        </w:rPr>
        <w:t>information about</w:t>
      </w:r>
      <w:r w:rsidR="005424A7">
        <w:rPr>
          <w:color w:val="00B050"/>
          <w:szCs w:val="20"/>
        </w:rPr>
        <w:t xml:space="preserve"> the specific</w:t>
      </w:r>
      <w:r w:rsidR="00F65AE0">
        <w:rPr>
          <w:color w:val="00B050"/>
          <w:szCs w:val="20"/>
        </w:rPr>
        <w:t xml:space="preserve"> </w:t>
      </w:r>
      <w:r w:rsidR="00900B98">
        <w:rPr>
          <w:color w:val="00B050"/>
          <w:szCs w:val="20"/>
        </w:rPr>
        <w:t xml:space="preserve">sample preparation and </w:t>
      </w:r>
      <w:r w:rsidR="00F65AE0">
        <w:rPr>
          <w:color w:val="00B050"/>
          <w:szCs w:val="20"/>
        </w:rPr>
        <w:t>analytical procedures</w:t>
      </w:r>
      <w:r w:rsidR="005424A7">
        <w:rPr>
          <w:color w:val="00B050"/>
          <w:szCs w:val="20"/>
        </w:rPr>
        <w:t xml:space="preserve"> to be used</w:t>
      </w:r>
      <w:r w:rsidR="00F65AE0">
        <w:rPr>
          <w:color w:val="00B050"/>
          <w:szCs w:val="20"/>
        </w:rPr>
        <w:t xml:space="preserve">, </w:t>
      </w:r>
      <w:r>
        <w:rPr>
          <w:color w:val="00B050"/>
          <w:szCs w:val="20"/>
        </w:rPr>
        <w:t>which is important</w:t>
      </w:r>
      <w:r w:rsidR="006A6A81">
        <w:rPr>
          <w:color w:val="00B050"/>
          <w:szCs w:val="20"/>
        </w:rPr>
        <w:t xml:space="preserve"> for measurement traceability. </w:t>
      </w:r>
      <w:r w:rsidR="00A44C80">
        <w:rPr>
          <w:color w:val="00B050"/>
          <w:szCs w:val="20"/>
        </w:rPr>
        <w:t xml:space="preserve">Screening data are used for interim investigations and/or will not be used for </w:t>
      </w:r>
      <w:r w:rsidR="00392062">
        <w:rPr>
          <w:color w:val="00B050"/>
          <w:szCs w:val="20"/>
        </w:rPr>
        <w:t xml:space="preserve">final risk assessment or site assessment decisions unless they have been confirmed with definitive procedures. </w:t>
      </w:r>
      <w:r w:rsidR="00900B98">
        <w:rPr>
          <w:color w:val="00B050"/>
          <w:szCs w:val="20"/>
        </w:rPr>
        <w:t>SOPs for all sample preparation an</w:t>
      </w:r>
      <w:r w:rsidR="003E5EB9">
        <w:rPr>
          <w:color w:val="00B050"/>
          <w:szCs w:val="20"/>
        </w:rPr>
        <w:t xml:space="preserve">d analytical procedures must </w:t>
      </w:r>
      <w:r w:rsidR="007E7E30">
        <w:rPr>
          <w:color w:val="00B050"/>
          <w:szCs w:val="20"/>
        </w:rPr>
        <w:t xml:space="preserve">be </w:t>
      </w:r>
      <w:r w:rsidR="003E5EB9">
        <w:rPr>
          <w:color w:val="00B050"/>
          <w:szCs w:val="20"/>
        </w:rPr>
        <w:t>current</w:t>
      </w:r>
      <w:r w:rsidR="007E7E30">
        <w:rPr>
          <w:color w:val="00B050"/>
          <w:szCs w:val="20"/>
        </w:rPr>
        <w:t xml:space="preserve"> and </w:t>
      </w:r>
      <w:r w:rsidR="00900B98">
        <w:rPr>
          <w:color w:val="00B050"/>
          <w:szCs w:val="20"/>
        </w:rPr>
        <w:t>referenced whether these activities are performed in the field</w:t>
      </w:r>
      <w:r w:rsidR="006A6A81">
        <w:rPr>
          <w:color w:val="00B050"/>
          <w:szCs w:val="20"/>
        </w:rPr>
        <w:t xml:space="preserve"> or in an off-site laboratory. </w:t>
      </w:r>
      <w:r w:rsidR="00900B98">
        <w:rPr>
          <w:color w:val="00B050"/>
          <w:szCs w:val="20"/>
        </w:rPr>
        <w:t>If this information is not known at the time the QAPP is being prepared (i.e.</w:t>
      </w:r>
      <w:r w:rsidR="00527C5F">
        <w:rPr>
          <w:color w:val="00B050"/>
          <w:szCs w:val="20"/>
        </w:rPr>
        <w:t>,</w:t>
      </w:r>
      <w:r w:rsidR="00900B98">
        <w:rPr>
          <w:color w:val="00B050"/>
          <w:szCs w:val="20"/>
        </w:rPr>
        <w:t xml:space="preserve"> laboratory selection has not occurred</w:t>
      </w:r>
      <w:r w:rsidR="007D41F5">
        <w:rPr>
          <w:color w:val="00B050"/>
          <w:szCs w:val="20"/>
        </w:rPr>
        <w:t>)</w:t>
      </w:r>
      <w:r w:rsidR="001172AD">
        <w:rPr>
          <w:color w:val="00B050"/>
          <w:szCs w:val="20"/>
        </w:rPr>
        <w:t>,</w:t>
      </w:r>
      <w:r w:rsidR="00900B98">
        <w:rPr>
          <w:color w:val="00B050"/>
          <w:szCs w:val="20"/>
        </w:rPr>
        <w:t xml:space="preserve"> it is acceptable to </w:t>
      </w:r>
      <w:r w:rsidR="007D41F5">
        <w:rPr>
          <w:color w:val="00B050"/>
          <w:szCs w:val="20"/>
        </w:rPr>
        <w:t>enter “TBD”</w:t>
      </w:r>
      <w:r w:rsidR="006A6A81">
        <w:rPr>
          <w:color w:val="00B050"/>
          <w:szCs w:val="20"/>
        </w:rPr>
        <w:t xml:space="preserve"> for the required information. </w:t>
      </w:r>
      <w:r w:rsidR="007D41F5">
        <w:rPr>
          <w:color w:val="00B050"/>
          <w:szCs w:val="20"/>
        </w:rPr>
        <w:t>This worksheet must be complete</w:t>
      </w:r>
      <w:r w:rsidR="001B045E">
        <w:rPr>
          <w:color w:val="00B050"/>
          <w:szCs w:val="20"/>
        </w:rPr>
        <w:t>d</w:t>
      </w:r>
      <w:r w:rsidR="007D41F5">
        <w:rPr>
          <w:color w:val="00B050"/>
          <w:szCs w:val="20"/>
        </w:rPr>
        <w:t>, however</w:t>
      </w:r>
      <w:r w:rsidR="006A6A81">
        <w:rPr>
          <w:color w:val="00B050"/>
          <w:szCs w:val="20"/>
        </w:rPr>
        <w:t xml:space="preserve">, before the QAPP is approved. </w:t>
      </w:r>
      <w:r w:rsidR="00900B98">
        <w:rPr>
          <w:color w:val="00B050"/>
          <w:szCs w:val="20"/>
        </w:rPr>
        <w:t>If required by the project, copies of the SOPs should be included as a ha</w:t>
      </w:r>
      <w:r w:rsidR="006A6A81">
        <w:rPr>
          <w:color w:val="00B050"/>
          <w:szCs w:val="20"/>
        </w:rPr>
        <w:t xml:space="preserve">rdcopy or electronic appendix. </w:t>
      </w:r>
      <w:r w:rsidR="00F65AE0">
        <w:rPr>
          <w:color w:val="00B050"/>
          <w:szCs w:val="20"/>
        </w:rPr>
        <w:t>T</w:t>
      </w:r>
      <w:r w:rsidR="0097000E">
        <w:rPr>
          <w:color w:val="00B050"/>
          <w:szCs w:val="20"/>
        </w:rPr>
        <w:t xml:space="preserve">he project team should review </w:t>
      </w:r>
      <w:r w:rsidR="00900B98">
        <w:rPr>
          <w:color w:val="00B050"/>
          <w:szCs w:val="20"/>
        </w:rPr>
        <w:t>all</w:t>
      </w:r>
      <w:r w:rsidR="0097000E">
        <w:rPr>
          <w:color w:val="00B050"/>
          <w:szCs w:val="20"/>
        </w:rPr>
        <w:t xml:space="preserve"> SOPs</w:t>
      </w:r>
      <w:r w:rsidR="00527C5F">
        <w:rPr>
          <w:color w:val="00B050"/>
          <w:szCs w:val="20"/>
        </w:rPr>
        <w:t xml:space="preserve"> to make sure they are either </w:t>
      </w:r>
      <w:r w:rsidR="0097000E">
        <w:rPr>
          <w:color w:val="00B050"/>
          <w:szCs w:val="20"/>
        </w:rPr>
        <w:t>1) sufficiently prescriptive to be implemented as written or 2) modified as necess</w:t>
      </w:r>
      <w:r w:rsidR="006A6A81">
        <w:rPr>
          <w:color w:val="00B050"/>
          <w:szCs w:val="20"/>
        </w:rPr>
        <w:t>ary for this project.</w:t>
      </w:r>
      <w:r w:rsidR="0097000E">
        <w:rPr>
          <w:color w:val="00B050"/>
          <w:szCs w:val="20"/>
        </w:rPr>
        <w:t xml:space="preserve"> </w:t>
      </w:r>
      <w:r w:rsidR="009F739F">
        <w:rPr>
          <w:color w:val="00B050"/>
          <w:szCs w:val="20"/>
        </w:rPr>
        <w:t xml:space="preserve">If an SOP provides more than one procedure or option </w:t>
      </w:r>
      <w:r w:rsidR="00E27919">
        <w:rPr>
          <w:color w:val="00B050"/>
          <w:szCs w:val="20"/>
        </w:rPr>
        <w:t>[</w:t>
      </w:r>
      <w:r w:rsidR="007D41F5">
        <w:rPr>
          <w:color w:val="00B050"/>
          <w:szCs w:val="20"/>
        </w:rPr>
        <w:t>e.g.</w:t>
      </w:r>
      <w:r w:rsidR="005424A7">
        <w:rPr>
          <w:color w:val="00B050"/>
          <w:szCs w:val="20"/>
        </w:rPr>
        <w:t xml:space="preserve">, </w:t>
      </w:r>
      <w:r w:rsidR="007A7086">
        <w:rPr>
          <w:color w:val="00B050"/>
          <w:szCs w:val="20"/>
        </w:rPr>
        <w:t xml:space="preserve">extraction procedures for analytes of different concentration levels (SW5035), sulfur cleanup options (SW3660), </w:t>
      </w:r>
      <w:r w:rsidR="005424A7">
        <w:rPr>
          <w:color w:val="00B050"/>
          <w:szCs w:val="20"/>
        </w:rPr>
        <w:t>or</w:t>
      </w:r>
      <w:r w:rsidR="00130AE8">
        <w:rPr>
          <w:color w:val="00B050"/>
          <w:szCs w:val="20"/>
        </w:rPr>
        <w:t xml:space="preserve"> </w:t>
      </w:r>
      <w:r w:rsidR="007A7086">
        <w:rPr>
          <w:color w:val="00B050"/>
          <w:szCs w:val="20"/>
        </w:rPr>
        <w:t>derivatization techniques (SW8151)</w:t>
      </w:r>
      <w:r w:rsidR="00E27919">
        <w:rPr>
          <w:color w:val="00B050"/>
          <w:szCs w:val="20"/>
        </w:rPr>
        <w:t>]</w:t>
      </w:r>
      <w:r w:rsidR="005424A7">
        <w:rPr>
          <w:color w:val="00B050"/>
          <w:szCs w:val="20"/>
        </w:rPr>
        <w:t>,</w:t>
      </w:r>
      <w:r w:rsidR="009F739F">
        <w:rPr>
          <w:color w:val="00B050"/>
          <w:szCs w:val="20"/>
        </w:rPr>
        <w:t xml:space="preserve"> the specific option being </w:t>
      </w:r>
      <w:r w:rsidR="00F65AE0">
        <w:rPr>
          <w:color w:val="00B050"/>
          <w:szCs w:val="20"/>
        </w:rPr>
        <w:t>implemented</w:t>
      </w:r>
      <w:r w:rsidR="00900B98">
        <w:rPr>
          <w:color w:val="00B050"/>
          <w:szCs w:val="20"/>
        </w:rPr>
        <w:t xml:space="preserve"> must be noted.</w:t>
      </w:r>
      <w:r w:rsidR="006A6A81">
        <w:rPr>
          <w:color w:val="00B050"/>
          <w:szCs w:val="20"/>
        </w:rPr>
        <w:t xml:space="preserve"> </w:t>
      </w:r>
      <w:r w:rsidR="009F739F">
        <w:rPr>
          <w:color w:val="00B050"/>
          <w:szCs w:val="20"/>
        </w:rPr>
        <w:t>Th</w:t>
      </w:r>
      <w:r w:rsidR="00C243E1">
        <w:rPr>
          <w:color w:val="00B050"/>
          <w:szCs w:val="20"/>
        </w:rPr>
        <w:t xml:space="preserve">is worksheet </w:t>
      </w:r>
      <w:r w:rsidR="009F739F">
        <w:rPr>
          <w:color w:val="00B050"/>
          <w:szCs w:val="20"/>
        </w:rPr>
        <w:t xml:space="preserve">must </w:t>
      </w:r>
      <w:r w:rsidR="007E7E30">
        <w:rPr>
          <w:color w:val="00B050"/>
          <w:szCs w:val="20"/>
        </w:rPr>
        <w:t>summarize</w:t>
      </w:r>
      <w:r w:rsidR="005E39D8">
        <w:rPr>
          <w:color w:val="00B050"/>
          <w:szCs w:val="20"/>
        </w:rPr>
        <w:t xml:space="preserve"> </w:t>
      </w:r>
      <w:r w:rsidR="009F739F">
        <w:rPr>
          <w:color w:val="00B050"/>
          <w:szCs w:val="20"/>
        </w:rPr>
        <w:t xml:space="preserve">planned </w:t>
      </w:r>
      <w:r w:rsidR="005E39D8">
        <w:rPr>
          <w:color w:val="00B050"/>
          <w:szCs w:val="20"/>
        </w:rPr>
        <w:t xml:space="preserve">modifications to </w:t>
      </w:r>
      <w:r w:rsidR="00C243E1">
        <w:rPr>
          <w:color w:val="00B050"/>
          <w:szCs w:val="20"/>
        </w:rPr>
        <w:t>existing SOPs, and m</w:t>
      </w:r>
      <w:r w:rsidR="009F739F">
        <w:rPr>
          <w:color w:val="00B050"/>
          <w:szCs w:val="20"/>
        </w:rPr>
        <w:t xml:space="preserve">odifications should be clearly noted on the </w:t>
      </w:r>
      <w:r w:rsidR="00900B98">
        <w:rPr>
          <w:color w:val="00B050"/>
          <w:szCs w:val="20"/>
        </w:rPr>
        <w:t xml:space="preserve">copies of the </w:t>
      </w:r>
      <w:r w:rsidR="009F739F">
        <w:rPr>
          <w:color w:val="00B050"/>
          <w:szCs w:val="20"/>
        </w:rPr>
        <w:t>SOPs themselves.</w:t>
      </w:r>
      <w:r w:rsidR="006A6A81">
        <w:rPr>
          <w:color w:val="00B050"/>
          <w:szCs w:val="20"/>
        </w:rPr>
        <w:t xml:space="preserve"> </w:t>
      </w:r>
      <w:r w:rsidR="00900B98">
        <w:rPr>
          <w:color w:val="00B050"/>
          <w:szCs w:val="20"/>
        </w:rPr>
        <w:t>All personnel responsible for implementing sample preparation and analytical SOPs must have access to the specific SOPs they are using</w:t>
      </w:r>
      <w:r w:rsidR="007E7E30">
        <w:rPr>
          <w:color w:val="00B050"/>
          <w:szCs w:val="20"/>
        </w:rPr>
        <w:t>.</w:t>
      </w:r>
    </w:p>
    <w:p w:rsidR="0097000E" w:rsidRDefault="0097000E" w:rsidP="00223128">
      <w:pPr>
        <w:spacing w:after="0"/>
      </w:pP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Analytical SOP's"/>
        <w:tblDescription w:val="This table documents information about the specific sample preparation and analytical procedures to be used, which is important for measurement traceability."/>
      </w:tblPr>
      <w:tblGrid>
        <w:gridCol w:w="918"/>
        <w:gridCol w:w="3600"/>
        <w:gridCol w:w="1620"/>
        <w:gridCol w:w="2520"/>
        <w:gridCol w:w="2610"/>
        <w:gridCol w:w="1908"/>
      </w:tblGrid>
      <w:tr w:rsidR="0097000E" w:rsidTr="00B71121">
        <w:trPr>
          <w:tblHeader/>
        </w:trPr>
        <w:tc>
          <w:tcPr>
            <w:tcW w:w="918" w:type="dxa"/>
            <w:vAlign w:val="center"/>
          </w:tcPr>
          <w:p w:rsidR="0097000E" w:rsidRPr="00527C5F" w:rsidRDefault="0097000E" w:rsidP="00F65AE0">
            <w:pPr>
              <w:jc w:val="center"/>
              <w:rPr>
                <w:b/>
              </w:rPr>
            </w:pPr>
            <w:r w:rsidRPr="00527C5F">
              <w:rPr>
                <w:b/>
              </w:rPr>
              <w:t>SOP #</w:t>
            </w:r>
          </w:p>
        </w:tc>
        <w:tc>
          <w:tcPr>
            <w:tcW w:w="3600" w:type="dxa"/>
            <w:vAlign w:val="center"/>
          </w:tcPr>
          <w:p w:rsidR="0097000E" w:rsidRPr="00527C5F" w:rsidRDefault="0097000E" w:rsidP="005E39D8">
            <w:pPr>
              <w:jc w:val="center"/>
              <w:rPr>
                <w:b/>
              </w:rPr>
            </w:pPr>
            <w:r w:rsidRPr="00527C5F">
              <w:rPr>
                <w:b/>
              </w:rPr>
              <w:t>Title, Date</w:t>
            </w:r>
            <w:r w:rsidR="009F739F" w:rsidRPr="00527C5F">
              <w:rPr>
                <w:b/>
              </w:rPr>
              <w:t>, and URL (if available)</w:t>
            </w:r>
          </w:p>
        </w:tc>
        <w:tc>
          <w:tcPr>
            <w:tcW w:w="1620" w:type="dxa"/>
            <w:vAlign w:val="center"/>
          </w:tcPr>
          <w:p w:rsidR="0097000E" w:rsidRPr="00527C5F" w:rsidRDefault="00F65AE0" w:rsidP="005E39D8">
            <w:pPr>
              <w:jc w:val="center"/>
              <w:rPr>
                <w:b/>
              </w:rPr>
            </w:pPr>
            <w:r w:rsidRPr="00527C5F">
              <w:rPr>
                <w:b/>
              </w:rPr>
              <w:t>Definitive or Screening Data</w:t>
            </w:r>
          </w:p>
        </w:tc>
        <w:tc>
          <w:tcPr>
            <w:tcW w:w="2520" w:type="dxa"/>
            <w:vAlign w:val="center"/>
          </w:tcPr>
          <w:p w:rsidR="0097000E" w:rsidRPr="00527C5F" w:rsidRDefault="00900B98" w:rsidP="005E39D8">
            <w:pPr>
              <w:jc w:val="center"/>
              <w:rPr>
                <w:b/>
              </w:rPr>
            </w:pPr>
            <w:r w:rsidRPr="00527C5F">
              <w:rPr>
                <w:b/>
              </w:rPr>
              <w:t>Matrix/Analytical Group</w:t>
            </w:r>
          </w:p>
        </w:tc>
        <w:tc>
          <w:tcPr>
            <w:tcW w:w="2610" w:type="dxa"/>
            <w:vAlign w:val="center"/>
          </w:tcPr>
          <w:p w:rsidR="00F65AE0" w:rsidRPr="00527C5F" w:rsidRDefault="00F65AE0" w:rsidP="00F65AE0">
            <w:pPr>
              <w:jc w:val="center"/>
              <w:rPr>
                <w:b/>
              </w:rPr>
            </w:pPr>
            <w:r w:rsidRPr="00527C5F">
              <w:rPr>
                <w:b/>
              </w:rPr>
              <w:t xml:space="preserve">SOP </w:t>
            </w:r>
            <w:r w:rsidR="007D41F5" w:rsidRPr="00527C5F">
              <w:rPr>
                <w:b/>
              </w:rPr>
              <w:t>O</w:t>
            </w:r>
            <w:r w:rsidRPr="00527C5F">
              <w:rPr>
                <w:b/>
              </w:rPr>
              <w:t xml:space="preserve">ption or </w:t>
            </w:r>
          </w:p>
          <w:p w:rsidR="005E39D8" w:rsidRPr="00527C5F" w:rsidRDefault="00F65AE0" w:rsidP="00527C5F">
            <w:pPr>
              <w:jc w:val="center"/>
              <w:rPr>
                <w:b/>
              </w:rPr>
            </w:pPr>
            <w:r w:rsidRPr="00527C5F">
              <w:rPr>
                <w:b/>
              </w:rPr>
              <w:t>Equipment Type</w:t>
            </w:r>
          </w:p>
        </w:tc>
        <w:tc>
          <w:tcPr>
            <w:tcW w:w="1908" w:type="dxa"/>
            <w:vAlign w:val="center"/>
          </w:tcPr>
          <w:p w:rsidR="00F65AE0" w:rsidRPr="00527C5F" w:rsidRDefault="007E7E30" w:rsidP="00F65AE0">
            <w:pPr>
              <w:jc w:val="center"/>
              <w:rPr>
                <w:b/>
              </w:rPr>
            </w:pPr>
            <w:r w:rsidRPr="00527C5F">
              <w:rPr>
                <w:b/>
                <w:vertAlign w:val="superscript"/>
              </w:rPr>
              <w:t>‡</w:t>
            </w:r>
            <w:r w:rsidR="00F65AE0" w:rsidRPr="00527C5F">
              <w:rPr>
                <w:b/>
              </w:rPr>
              <w:t>Modified for Project?</w:t>
            </w:r>
          </w:p>
          <w:p w:rsidR="0097000E" w:rsidRPr="00527C5F" w:rsidRDefault="00F65AE0" w:rsidP="00F65AE0">
            <w:pPr>
              <w:jc w:val="center"/>
              <w:rPr>
                <w:b/>
              </w:rPr>
            </w:pPr>
            <w:r w:rsidRPr="00527C5F">
              <w:rPr>
                <w:b/>
              </w:rPr>
              <w:t>Y/N</w:t>
            </w:r>
          </w:p>
        </w:tc>
      </w:tr>
      <w:tr w:rsidR="0097000E" w:rsidTr="00B412FF">
        <w:tc>
          <w:tcPr>
            <w:tcW w:w="918" w:type="dxa"/>
          </w:tcPr>
          <w:p w:rsidR="0097000E" w:rsidRPr="00C06475" w:rsidRDefault="00564920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BR549</w:t>
            </w:r>
          </w:p>
        </w:tc>
        <w:tc>
          <w:tcPr>
            <w:tcW w:w="3600" w:type="dxa"/>
          </w:tcPr>
          <w:p w:rsidR="00860EE2" w:rsidRPr="00C06475" w:rsidRDefault="00564920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C06475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 xml:space="preserve">Mercury by </w:t>
            </w:r>
            <w:r w:rsidR="00130AE8" w:rsidRPr="00C06475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S</w:t>
            </w:r>
            <w:r w:rsidRPr="00C06475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emi-Automated Cold Vapor Atomic Absorption, 09/15/11 -- rev. 5.7, 7470A/7471A</w:t>
            </w:r>
          </w:p>
        </w:tc>
        <w:tc>
          <w:tcPr>
            <w:tcW w:w="1620" w:type="dxa"/>
          </w:tcPr>
          <w:p w:rsidR="0097000E" w:rsidRPr="00C06475" w:rsidRDefault="00564920" w:rsidP="00FB249D">
            <w:pPr>
              <w:spacing w:line="360" w:lineRule="auto"/>
              <w:jc w:val="center"/>
              <w:rPr>
                <w:color w:val="0070C0"/>
              </w:rPr>
            </w:pPr>
            <w:r w:rsidRPr="00C06475">
              <w:rPr>
                <w:color w:val="0070C0"/>
              </w:rPr>
              <w:t>Definitive</w:t>
            </w:r>
          </w:p>
        </w:tc>
        <w:tc>
          <w:tcPr>
            <w:tcW w:w="2520" w:type="dxa"/>
          </w:tcPr>
          <w:p w:rsidR="0097000E" w:rsidRPr="00C06475" w:rsidRDefault="00564920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Soil/metals</w:t>
            </w:r>
          </w:p>
        </w:tc>
        <w:tc>
          <w:tcPr>
            <w:tcW w:w="2610" w:type="dxa"/>
          </w:tcPr>
          <w:p w:rsidR="0097000E" w:rsidRPr="00C06475" w:rsidRDefault="003A1E2A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CVAA</w:t>
            </w:r>
          </w:p>
        </w:tc>
        <w:tc>
          <w:tcPr>
            <w:tcW w:w="1908" w:type="dxa"/>
          </w:tcPr>
          <w:p w:rsidR="00860EE2" w:rsidRPr="00C06475" w:rsidRDefault="00176595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C06475">
              <w:rPr>
                <w:rFonts w:ascii="Arial" w:hAnsi="Arial" w:cs="Arial"/>
                <w:color w:val="0070C0"/>
                <w:sz w:val="18"/>
                <w:szCs w:val="18"/>
              </w:rPr>
              <w:t>Y- A 2.00-g</w:t>
            </w:r>
            <w:r w:rsidR="000468E3" w:rsidRPr="00C06475">
              <w:rPr>
                <w:rFonts w:ascii="Arial" w:hAnsi="Arial" w:cs="Arial"/>
                <w:color w:val="0070C0"/>
                <w:sz w:val="18"/>
                <w:szCs w:val="18"/>
              </w:rPr>
              <w:t xml:space="preserve"> soil</w:t>
            </w:r>
            <w:r w:rsidRPr="00C06475">
              <w:rPr>
                <w:rFonts w:ascii="Arial" w:hAnsi="Arial" w:cs="Arial"/>
                <w:color w:val="0070C0"/>
                <w:sz w:val="18"/>
                <w:szCs w:val="18"/>
              </w:rPr>
              <w:t xml:space="preserve"> sample </w:t>
            </w:r>
            <w:r w:rsidR="000468E3" w:rsidRPr="00C06475">
              <w:rPr>
                <w:rFonts w:ascii="Arial" w:hAnsi="Arial" w:cs="Arial"/>
                <w:color w:val="0070C0"/>
                <w:sz w:val="18"/>
                <w:szCs w:val="18"/>
              </w:rPr>
              <w:t>is</w:t>
            </w:r>
            <w:r w:rsidRPr="00C06475">
              <w:rPr>
                <w:rFonts w:ascii="Arial" w:hAnsi="Arial" w:cs="Arial"/>
                <w:color w:val="0070C0"/>
                <w:sz w:val="18"/>
                <w:szCs w:val="18"/>
              </w:rPr>
              <w:t xml:space="preserve"> digested</w:t>
            </w:r>
            <w:r w:rsidR="00171914" w:rsidRPr="00C06475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Pr="00C06475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97000E" w:rsidTr="00B412FF">
        <w:trPr>
          <w:trHeight w:val="863"/>
        </w:trPr>
        <w:tc>
          <w:tcPr>
            <w:tcW w:w="918" w:type="dxa"/>
          </w:tcPr>
          <w:p w:rsidR="0097000E" w:rsidRPr="00C06475" w:rsidRDefault="00564920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JB007</w:t>
            </w:r>
          </w:p>
        </w:tc>
        <w:tc>
          <w:tcPr>
            <w:tcW w:w="3600" w:type="dxa"/>
          </w:tcPr>
          <w:p w:rsidR="00860EE2" w:rsidRPr="00C06475" w:rsidRDefault="00564920">
            <w:pPr>
              <w:autoSpaceDE w:val="0"/>
              <w:autoSpaceDN w:val="0"/>
              <w:adjustRightInd w:val="0"/>
              <w:rPr>
                <w:color w:val="0070C0"/>
              </w:rPr>
            </w:pPr>
            <w:r w:rsidRPr="00C06475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Acid Digestion of Sediments, Sludges</w:t>
            </w:r>
            <w:r w:rsidR="00130AE8" w:rsidRPr="00C06475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,</w:t>
            </w:r>
            <w:r w:rsidRPr="00C06475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 xml:space="preserve"> and Soils Using Block Digestion, 09/09/11, rev 1.5, 3050B</w:t>
            </w:r>
          </w:p>
        </w:tc>
        <w:tc>
          <w:tcPr>
            <w:tcW w:w="1620" w:type="dxa"/>
          </w:tcPr>
          <w:p w:rsidR="0097000E" w:rsidRPr="00C06475" w:rsidRDefault="00564920" w:rsidP="006A6A81">
            <w:pPr>
              <w:spacing w:line="360" w:lineRule="auto"/>
              <w:jc w:val="center"/>
              <w:rPr>
                <w:color w:val="0070C0"/>
              </w:rPr>
            </w:pPr>
            <w:r w:rsidRPr="00C06475">
              <w:rPr>
                <w:color w:val="0070C0"/>
              </w:rPr>
              <w:t>Definitive</w:t>
            </w:r>
          </w:p>
        </w:tc>
        <w:tc>
          <w:tcPr>
            <w:tcW w:w="2520" w:type="dxa"/>
          </w:tcPr>
          <w:p w:rsidR="0097000E" w:rsidRPr="00C06475" w:rsidRDefault="00564920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Soil/metals</w:t>
            </w:r>
          </w:p>
        </w:tc>
        <w:tc>
          <w:tcPr>
            <w:tcW w:w="2610" w:type="dxa"/>
          </w:tcPr>
          <w:p w:rsidR="0097000E" w:rsidRPr="00C06475" w:rsidRDefault="003A1E2A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Hot Block digestion</w:t>
            </w:r>
          </w:p>
        </w:tc>
        <w:tc>
          <w:tcPr>
            <w:tcW w:w="1908" w:type="dxa"/>
          </w:tcPr>
          <w:p w:rsidR="0097000E" w:rsidRPr="00C06475" w:rsidRDefault="003A1E2A" w:rsidP="005424A7">
            <w:pPr>
              <w:spacing w:line="360" w:lineRule="auto"/>
              <w:jc w:val="center"/>
              <w:rPr>
                <w:color w:val="0070C0"/>
              </w:rPr>
            </w:pPr>
            <w:r w:rsidRPr="00C06475">
              <w:rPr>
                <w:color w:val="0070C0"/>
              </w:rPr>
              <w:t>N</w:t>
            </w:r>
          </w:p>
        </w:tc>
      </w:tr>
      <w:tr w:rsidR="00B412FF" w:rsidTr="00B412FF">
        <w:tc>
          <w:tcPr>
            <w:tcW w:w="918" w:type="dxa"/>
          </w:tcPr>
          <w:p w:rsidR="00B412FF" w:rsidRPr="00C06475" w:rsidRDefault="005424A7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BR035</w:t>
            </w:r>
          </w:p>
        </w:tc>
        <w:tc>
          <w:tcPr>
            <w:tcW w:w="3600" w:type="dxa"/>
          </w:tcPr>
          <w:p w:rsidR="00B412FF" w:rsidRPr="00C06475" w:rsidRDefault="005424A7" w:rsidP="005424A7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06475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Closed System Purge-and-Trap/Extraction for VOCs in Soil and Waste, 04/01/11, Rev 2, </w:t>
            </w:r>
            <w:r w:rsidR="00C06475" w:rsidRPr="00C06475">
              <w:rPr>
                <w:rFonts w:ascii="Arial" w:hAnsi="Arial" w:cs="Arial"/>
                <w:i/>
                <w:color w:val="0070C0"/>
                <w:sz w:val="18"/>
                <w:szCs w:val="18"/>
              </w:rPr>
              <w:t>5035</w:t>
            </w:r>
          </w:p>
        </w:tc>
        <w:tc>
          <w:tcPr>
            <w:tcW w:w="1620" w:type="dxa"/>
          </w:tcPr>
          <w:p w:rsidR="00B412FF" w:rsidRPr="00C06475" w:rsidRDefault="005424A7" w:rsidP="005424A7">
            <w:pPr>
              <w:spacing w:line="360" w:lineRule="auto"/>
              <w:jc w:val="center"/>
              <w:rPr>
                <w:color w:val="0070C0"/>
              </w:rPr>
            </w:pPr>
            <w:r w:rsidRPr="00C06475">
              <w:rPr>
                <w:color w:val="0070C0"/>
              </w:rPr>
              <w:t>Definitive</w:t>
            </w:r>
          </w:p>
        </w:tc>
        <w:tc>
          <w:tcPr>
            <w:tcW w:w="2520" w:type="dxa"/>
          </w:tcPr>
          <w:p w:rsidR="00B412FF" w:rsidRPr="00C06475" w:rsidRDefault="005424A7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Soil/VOCs</w:t>
            </w:r>
          </w:p>
        </w:tc>
        <w:tc>
          <w:tcPr>
            <w:tcW w:w="2610" w:type="dxa"/>
          </w:tcPr>
          <w:p w:rsidR="00B412FF" w:rsidRPr="00C06475" w:rsidRDefault="005424A7" w:rsidP="00527C5F">
            <w:pPr>
              <w:rPr>
                <w:color w:val="0070C0"/>
              </w:rPr>
            </w:pPr>
            <w:r w:rsidRPr="00C06475">
              <w:rPr>
                <w:color w:val="0070C0"/>
              </w:rPr>
              <w:t>Low</w:t>
            </w:r>
            <w:r w:rsidR="00527C5F">
              <w:rPr>
                <w:color w:val="0070C0"/>
              </w:rPr>
              <w:t>-</w:t>
            </w:r>
            <w:r w:rsidRPr="00C06475">
              <w:rPr>
                <w:color w:val="0070C0"/>
              </w:rPr>
              <w:t>level</w:t>
            </w:r>
            <w:r w:rsidR="00527C5F">
              <w:rPr>
                <w:color w:val="0070C0"/>
              </w:rPr>
              <w:t>,</w:t>
            </w:r>
            <w:r w:rsidRPr="00C06475">
              <w:rPr>
                <w:color w:val="0070C0"/>
              </w:rPr>
              <w:t xml:space="preserve"> closed-system purge and trap</w:t>
            </w:r>
          </w:p>
        </w:tc>
        <w:tc>
          <w:tcPr>
            <w:tcW w:w="1908" w:type="dxa"/>
          </w:tcPr>
          <w:p w:rsidR="00B412FF" w:rsidRPr="00C06475" w:rsidRDefault="005424A7" w:rsidP="005424A7">
            <w:pPr>
              <w:spacing w:line="360" w:lineRule="auto"/>
              <w:jc w:val="center"/>
              <w:rPr>
                <w:color w:val="0070C0"/>
              </w:rPr>
            </w:pPr>
            <w:r w:rsidRPr="00C06475">
              <w:rPr>
                <w:color w:val="0070C0"/>
              </w:rPr>
              <w:t>N</w:t>
            </w:r>
          </w:p>
        </w:tc>
      </w:tr>
      <w:tr w:rsidR="005424A7" w:rsidTr="00B412FF">
        <w:tc>
          <w:tcPr>
            <w:tcW w:w="918" w:type="dxa"/>
          </w:tcPr>
          <w:p w:rsidR="005424A7" w:rsidRPr="00C06475" w:rsidRDefault="00C06475" w:rsidP="005E39D8">
            <w:pPr>
              <w:spacing w:line="360" w:lineRule="auto"/>
              <w:rPr>
                <w:color w:val="0070C0"/>
              </w:rPr>
            </w:pPr>
            <w:r w:rsidRPr="00C06475">
              <w:rPr>
                <w:color w:val="0070C0"/>
              </w:rPr>
              <w:t>BR151</w:t>
            </w:r>
          </w:p>
        </w:tc>
        <w:tc>
          <w:tcPr>
            <w:tcW w:w="3600" w:type="dxa"/>
          </w:tcPr>
          <w:p w:rsidR="005424A7" w:rsidRPr="00C06475" w:rsidRDefault="00A44C80" w:rsidP="005424A7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>Field Screening for Vapor Intrusion using portable GC/MS</w:t>
            </w:r>
          </w:p>
        </w:tc>
        <w:tc>
          <w:tcPr>
            <w:tcW w:w="1620" w:type="dxa"/>
          </w:tcPr>
          <w:p w:rsidR="005424A7" w:rsidRPr="00C06475" w:rsidRDefault="00A44C80" w:rsidP="005424A7">
            <w:pPr>
              <w:spacing w:line="360" w:lineRule="auto"/>
              <w:jc w:val="center"/>
              <w:rPr>
                <w:color w:val="0070C0"/>
              </w:rPr>
            </w:pPr>
            <w:r>
              <w:rPr>
                <w:color w:val="0070C0"/>
              </w:rPr>
              <w:t>Screening</w:t>
            </w:r>
          </w:p>
        </w:tc>
        <w:tc>
          <w:tcPr>
            <w:tcW w:w="2520" w:type="dxa"/>
          </w:tcPr>
          <w:p w:rsidR="005424A7" w:rsidRPr="00C06475" w:rsidRDefault="00A44C80" w:rsidP="00C06475">
            <w:pPr>
              <w:rPr>
                <w:color w:val="0070C0"/>
              </w:rPr>
            </w:pPr>
            <w:r>
              <w:rPr>
                <w:color w:val="0070C0"/>
              </w:rPr>
              <w:t>Indoor air</w:t>
            </w:r>
          </w:p>
        </w:tc>
        <w:tc>
          <w:tcPr>
            <w:tcW w:w="2610" w:type="dxa"/>
          </w:tcPr>
          <w:p w:rsidR="005424A7" w:rsidRPr="00C06475" w:rsidRDefault="00A44C80" w:rsidP="005424A7">
            <w:pPr>
              <w:rPr>
                <w:color w:val="0070C0"/>
              </w:rPr>
            </w:pPr>
            <w:proofErr w:type="spellStart"/>
            <w:r>
              <w:rPr>
                <w:color w:val="0070C0"/>
              </w:rPr>
              <w:t>Hapsite</w:t>
            </w:r>
            <w:proofErr w:type="spellEnd"/>
            <w:r>
              <w:rPr>
                <w:color w:val="0070C0"/>
              </w:rPr>
              <w:t xml:space="preserve"> GC/MS</w:t>
            </w:r>
          </w:p>
        </w:tc>
        <w:tc>
          <w:tcPr>
            <w:tcW w:w="1908" w:type="dxa"/>
          </w:tcPr>
          <w:p w:rsidR="005424A7" w:rsidRPr="00C06475" w:rsidRDefault="00C06475" w:rsidP="005424A7">
            <w:pPr>
              <w:spacing w:line="360" w:lineRule="auto"/>
              <w:jc w:val="center"/>
              <w:rPr>
                <w:color w:val="0070C0"/>
              </w:rPr>
            </w:pPr>
            <w:r w:rsidRPr="00C06475">
              <w:rPr>
                <w:color w:val="0070C0"/>
              </w:rPr>
              <w:t>N</w:t>
            </w:r>
          </w:p>
        </w:tc>
      </w:tr>
    </w:tbl>
    <w:p w:rsidR="002F2EA8" w:rsidRDefault="007E7E30" w:rsidP="00223128">
      <w:pPr>
        <w:spacing w:after="0"/>
      </w:pPr>
      <w:r>
        <w:t>‡ A brief summary of project</w:t>
      </w:r>
      <w:r w:rsidR="00484D7B">
        <w:t>-specific SOP</w:t>
      </w:r>
      <w:r>
        <w:t xml:space="preserve"> modifications mus</w:t>
      </w:r>
      <w:r w:rsidR="00A44C80">
        <w:t>t be provided on this worksheet or referenced.</w:t>
      </w:r>
    </w:p>
    <w:sectPr w:rsidR="002F2EA8" w:rsidSect="00350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54" w:rsidRDefault="00A71754" w:rsidP="00FF0C16">
      <w:pPr>
        <w:spacing w:after="0" w:line="240" w:lineRule="auto"/>
      </w:pPr>
      <w:r>
        <w:separator/>
      </w:r>
    </w:p>
  </w:endnote>
  <w:endnote w:type="continuationSeparator" w:id="0">
    <w:p w:rsidR="00A71754" w:rsidRDefault="00A71754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1" w:rsidRDefault="00B711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1" w:rsidRDefault="00B711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1" w:rsidRDefault="00B711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54" w:rsidRDefault="00A71754" w:rsidP="00FF0C16">
      <w:pPr>
        <w:spacing w:after="0" w:line="240" w:lineRule="auto"/>
      </w:pPr>
      <w:r>
        <w:separator/>
      </w:r>
    </w:p>
  </w:footnote>
  <w:footnote w:type="continuationSeparator" w:id="0">
    <w:p w:rsidR="00A71754" w:rsidRDefault="00A71754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1" w:rsidRDefault="00B711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053189"/>
      <w:docPartObj>
        <w:docPartGallery w:val="Page Numbers (Top of Page)"/>
        <w:docPartUnique/>
      </w:docPartObj>
    </w:sdtPr>
    <w:sdtEndPr/>
    <w:sdtContent>
      <w:p w:rsidR="007D41F5" w:rsidRPr="00484D7B" w:rsidRDefault="007D41F5">
        <w:pPr>
          <w:pStyle w:val="Header"/>
          <w:jc w:val="right"/>
          <w:rPr>
            <w:sz w:val="20"/>
            <w:szCs w:val="20"/>
          </w:rPr>
        </w:pPr>
        <w:r w:rsidRPr="00484D7B">
          <w:rPr>
            <w:sz w:val="20"/>
            <w:szCs w:val="20"/>
          </w:rPr>
          <w:t>Title:</w:t>
        </w:r>
      </w:p>
      <w:p w:rsidR="007D41F5" w:rsidRPr="00484D7B" w:rsidRDefault="007D41F5">
        <w:pPr>
          <w:pStyle w:val="Header"/>
          <w:jc w:val="right"/>
          <w:rPr>
            <w:sz w:val="20"/>
            <w:szCs w:val="20"/>
          </w:rPr>
        </w:pPr>
        <w:r w:rsidRPr="00484D7B">
          <w:rPr>
            <w:sz w:val="20"/>
            <w:szCs w:val="20"/>
          </w:rPr>
          <w:t>Revision Number:</w:t>
        </w:r>
      </w:p>
      <w:p w:rsidR="007D41F5" w:rsidRPr="00484D7B" w:rsidRDefault="007D41F5">
        <w:pPr>
          <w:pStyle w:val="Header"/>
          <w:jc w:val="right"/>
          <w:rPr>
            <w:sz w:val="20"/>
            <w:szCs w:val="20"/>
          </w:rPr>
        </w:pPr>
        <w:r w:rsidRPr="00484D7B">
          <w:rPr>
            <w:sz w:val="20"/>
            <w:szCs w:val="20"/>
          </w:rPr>
          <w:t>Revision Date:</w:t>
        </w:r>
      </w:p>
      <w:p w:rsidR="007D41F5" w:rsidRDefault="007D41F5">
        <w:pPr>
          <w:pStyle w:val="Header"/>
          <w:jc w:val="right"/>
        </w:pPr>
        <w:r w:rsidRPr="00484D7B">
          <w:rPr>
            <w:sz w:val="20"/>
            <w:szCs w:val="20"/>
          </w:rPr>
          <w:t xml:space="preserve">Page </w:t>
        </w:r>
        <w:r w:rsidR="008A6C24" w:rsidRPr="00484D7B">
          <w:rPr>
            <w:b/>
            <w:sz w:val="20"/>
            <w:szCs w:val="20"/>
          </w:rPr>
          <w:fldChar w:fldCharType="begin"/>
        </w:r>
        <w:r w:rsidRPr="00484D7B">
          <w:rPr>
            <w:b/>
            <w:sz w:val="20"/>
            <w:szCs w:val="20"/>
          </w:rPr>
          <w:instrText xml:space="preserve"> PAGE </w:instrText>
        </w:r>
        <w:r w:rsidR="008A6C24" w:rsidRPr="00484D7B">
          <w:rPr>
            <w:b/>
            <w:sz w:val="20"/>
            <w:szCs w:val="20"/>
          </w:rPr>
          <w:fldChar w:fldCharType="separate"/>
        </w:r>
        <w:r w:rsidR="00B71121">
          <w:rPr>
            <w:b/>
            <w:noProof/>
            <w:sz w:val="20"/>
            <w:szCs w:val="20"/>
          </w:rPr>
          <w:t>1</w:t>
        </w:r>
        <w:r w:rsidR="008A6C24" w:rsidRPr="00484D7B">
          <w:rPr>
            <w:b/>
            <w:sz w:val="20"/>
            <w:szCs w:val="20"/>
          </w:rPr>
          <w:fldChar w:fldCharType="end"/>
        </w:r>
        <w:r w:rsidRPr="00484D7B">
          <w:rPr>
            <w:sz w:val="20"/>
            <w:szCs w:val="20"/>
          </w:rPr>
          <w:t xml:space="preserve"> of </w:t>
        </w:r>
        <w:r w:rsidR="008A6C24" w:rsidRPr="00484D7B">
          <w:rPr>
            <w:b/>
            <w:sz w:val="20"/>
            <w:szCs w:val="20"/>
          </w:rPr>
          <w:fldChar w:fldCharType="begin"/>
        </w:r>
        <w:r w:rsidRPr="00484D7B">
          <w:rPr>
            <w:b/>
            <w:sz w:val="20"/>
            <w:szCs w:val="20"/>
          </w:rPr>
          <w:instrText xml:space="preserve"> NUMPAGES  </w:instrText>
        </w:r>
        <w:r w:rsidR="008A6C24" w:rsidRPr="00484D7B">
          <w:rPr>
            <w:b/>
            <w:sz w:val="20"/>
            <w:szCs w:val="20"/>
          </w:rPr>
          <w:fldChar w:fldCharType="separate"/>
        </w:r>
        <w:r w:rsidR="00B71121">
          <w:rPr>
            <w:b/>
            <w:noProof/>
            <w:sz w:val="20"/>
            <w:szCs w:val="20"/>
          </w:rPr>
          <w:t>1</w:t>
        </w:r>
        <w:r w:rsidR="008A6C24" w:rsidRPr="00484D7B">
          <w:rPr>
            <w:b/>
            <w:sz w:val="20"/>
            <w:szCs w:val="20"/>
          </w:rPr>
          <w:fldChar w:fldCharType="end"/>
        </w:r>
      </w:p>
    </w:sdtContent>
  </w:sdt>
  <w:p w:rsidR="007D41F5" w:rsidRDefault="007D41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121" w:rsidRDefault="00B711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468E3"/>
    <w:rsid w:val="00055762"/>
    <w:rsid w:val="000C6E83"/>
    <w:rsid w:val="000E0FFF"/>
    <w:rsid w:val="000F6FB2"/>
    <w:rsid w:val="001151CE"/>
    <w:rsid w:val="001172AD"/>
    <w:rsid w:val="0012194D"/>
    <w:rsid w:val="00130AE8"/>
    <w:rsid w:val="001651B6"/>
    <w:rsid w:val="00170D2B"/>
    <w:rsid w:val="00171914"/>
    <w:rsid w:val="00176595"/>
    <w:rsid w:val="00190489"/>
    <w:rsid w:val="001B045E"/>
    <w:rsid w:val="00204A80"/>
    <w:rsid w:val="00204B1C"/>
    <w:rsid w:val="00216BF1"/>
    <w:rsid w:val="00223128"/>
    <w:rsid w:val="00293604"/>
    <w:rsid w:val="00296F32"/>
    <w:rsid w:val="002D1D52"/>
    <w:rsid w:val="002D43EF"/>
    <w:rsid w:val="002E44E2"/>
    <w:rsid w:val="002F2EA8"/>
    <w:rsid w:val="00332EF5"/>
    <w:rsid w:val="00342920"/>
    <w:rsid w:val="0034373E"/>
    <w:rsid w:val="0035042F"/>
    <w:rsid w:val="00392062"/>
    <w:rsid w:val="003A1E2A"/>
    <w:rsid w:val="003B2293"/>
    <w:rsid w:val="003B65F7"/>
    <w:rsid w:val="003C5050"/>
    <w:rsid w:val="003E5EB9"/>
    <w:rsid w:val="00402B16"/>
    <w:rsid w:val="00431685"/>
    <w:rsid w:val="004512C3"/>
    <w:rsid w:val="00484D7B"/>
    <w:rsid w:val="00487BBF"/>
    <w:rsid w:val="004B25FA"/>
    <w:rsid w:val="004E7DCC"/>
    <w:rsid w:val="004F69D6"/>
    <w:rsid w:val="00527C5F"/>
    <w:rsid w:val="00530548"/>
    <w:rsid w:val="005424A7"/>
    <w:rsid w:val="00564920"/>
    <w:rsid w:val="00566B3F"/>
    <w:rsid w:val="00594380"/>
    <w:rsid w:val="005A77C5"/>
    <w:rsid w:val="005D4D70"/>
    <w:rsid w:val="005E39D8"/>
    <w:rsid w:val="00625C92"/>
    <w:rsid w:val="00625DF6"/>
    <w:rsid w:val="00677CE4"/>
    <w:rsid w:val="006919AF"/>
    <w:rsid w:val="006A6A81"/>
    <w:rsid w:val="006B4AC9"/>
    <w:rsid w:val="00713B7E"/>
    <w:rsid w:val="00737165"/>
    <w:rsid w:val="007A7086"/>
    <w:rsid w:val="007D41F5"/>
    <w:rsid w:val="007E7E30"/>
    <w:rsid w:val="007F4210"/>
    <w:rsid w:val="0080285E"/>
    <w:rsid w:val="00860EE2"/>
    <w:rsid w:val="008A6C24"/>
    <w:rsid w:val="008D0088"/>
    <w:rsid w:val="008F0996"/>
    <w:rsid w:val="00900B98"/>
    <w:rsid w:val="0092398D"/>
    <w:rsid w:val="00925C3C"/>
    <w:rsid w:val="00947B9E"/>
    <w:rsid w:val="0096117B"/>
    <w:rsid w:val="0097000E"/>
    <w:rsid w:val="00986FB1"/>
    <w:rsid w:val="00991EE9"/>
    <w:rsid w:val="009A772D"/>
    <w:rsid w:val="009F739F"/>
    <w:rsid w:val="00A44C80"/>
    <w:rsid w:val="00A57C3F"/>
    <w:rsid w:val="00A71754"/>
    <w:rsid w:val="00A71B20"/>
    <w:rsid w:val="00A73DB1"/>
    <w:rsid w:val="00AA695B"/>
    <w:rsid w:val="00B01C25"/>
    <w:rsid w:val="00B05985"/>
    <w:rsid w:val="00B412FF"/>
    <w:rsid w:val="00B71121"/>
    <w:rsid w:val="00B712D1"/>
    <w:rsid w:val="00BA2CBC"/>
    <w:rsid w:val="00BB07FB"/>
    <w:rsid w:val="00BB45B8"/>
    <w:rsid w:val="00BB766C"/>
    <w:rsid w:val="00BE1C70"/>
    <w:rsid w:val="00C06475"/>
    <w:rsid w:val="00C21E2B"/>
    <w:rsid w:val="00C243E1"/>
    <w:rsid w:val="00C311B2"/>
    <w:rsid w:val="00C603A7"/>
    <w:rsid w:val="00C73291"/>
    <w:rsid w:val="00CE613D"/>
    <w:rsid w:val="00CF2ED5"/>
    <w:rsid w:val="00CF6737"/>
    <w:rsid w:val="00D9587C"/>
    <w:rsid w:val="00DA5FF3"/>
    <w:rsid w:val="00DB49F4"/>
    <w:rsid w:val="00DC7AB4"/>
    <w:rsid w:val="00DD1D47"/>
    <w:rsid w:val="00DD318E"/>
    <w:rsid w:val="00DE03DA"/>
    <w:rsid w:val="00E27919"/>
    <w:rsid w:val="00E57268"/>
    <w:rsid w:val="00E953BD"/>
    <w:rsid w:val="00EF6842"/>
    <w:rsid w:val="00F1038A"/>
    <w:rsid w:val="00F11E6C"/>
    <w:rsid w:val="00F65AE0"/>
    <w:rsid w:val="00FB249D"/>
    <w:rsid w:val="00FC01DF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649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9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9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9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9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0A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649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9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9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9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9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0A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AA4B-166E-44AF-A6F4-5A02FAA4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#23: Analytical SOP's</vt:lpstr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#23: Analytical SOP's</dc:title>
  <dc:subject>This worksheet documents information about the specific sample preparation and analytical procedures to be used, which is important for measurement traceability.</dc:subject>
  <dc:creator>US EPA;US Department of Defense;US Department of Energy</dc:creator>
  <cp:keywords>SOP, screening data, matrix, analytical group, option, equipment</cp:keywords>
  <cp:lastModifiedBy>Kevin O'Donovan</cp:lastModifiedBy>
  <cp:revision>5</cp:revision>
  <dcterms:created xsi:type="dcterms:W3CDTF">2012-05-08T13:01:00Z</dcterms:created>
  <dcterms:modified xsi:type="dcterms:W3CDTF">2012-05-08T13:08:00Z</dcterms:modified>
</cp:coreProperties>
</file>