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0C" w:rsidRPr="009C5638" w:rsidRDefault="00E6560C" w:rsidP="00734FAF">
      <w:pPr>
        <w:pStyle w:val="CM113"/>
        <w:pageBreakBefore/>
        <w:spacing w:after="255"/>
        <w:jc w:val="center"/>
        <w:rPr>
          <w:rFonts w:asciiTheme="minorHAnsi" w:hAnsiTheme="minorHAnsi"/>
          <w:color w:val="000000"/>
          <w:sz w:val="28"/>
          <w:szCs w:val="28"/>
        </w:rPr>
      </w:pPr>
      <w:bookmarkStart w:id="0" w:name="_GoBack"/>
      <w:bookmarkEnd w:id="0"/>
      <w:r w:rsidRPr="009C5638">
        <w:rPr>
          <w:rFonts w:asciiTheme="minorHAnsi" w:hAnsiTheme="minorHAnsi"/>
          <w:b/>
          <w:bCs/>
          <w:color w:val="000000"/>
          <w:sz w:val="28"/>
          <w:szCs w:val="28"/>
        </w:rPr>
        <w:t>Executive Summary</w:t>
      </w:r>
    </w:p>
    <w:p w:rsidR="001F2934" w:rsidRDefault="00734FAF" w:rsidP="00E6560C">
      <w:pPr>
        <w:pStyle w:val="CM113"/>
        <w:spacing w:after="255" w:line="243" w:lineRule="atLeast"/>
        <w:jc w:val="both"/>
        <w:rPr>
          <w:rFonts w:asciiTheme="minorHAnsi" w:hAnsiTheme="minorHAnsi"/>
          <w:color w:val="000000"/>
          <w:sz w:val="22"/>
          <w:szCs w:val="22"/>
        </w:rPr>
      </w:pPr>
      <w:r w:rsidRPr="009C5638">
        <w:rPr>
          <w:rFonts w:asciiTheme="minorHAnsi" w:hAnsiTheme="minorHAnsi"/>
          <w:color w:val="000000"/>
          <w:sz w:val="22"/>
          <w:szCs w:val="22"/>
        </w:rPr>
        <w:t xml:space="preserve">The </w:t>
      </w:r>
      <w:r w:rsidR="009C5638">
        <w:rPr>
          <w:rFonts w:asciiTheme="minorHAnsi" w:hAnsiTheme="minorHAnsi"/>
          <w:color w:val="000000"/>
          <w:sz w:val="22"/>
          <w:szCs w:val="22"/>
        </w:rPr>
        <w:t>Uniform Federal Policy for Quality Assurance Project Plans (</w:t>
      </w:r>
      <w:r w:rsidRPr="009C5638">
        <w:rPr>
          <w:rFonts w:asciiTheme="minorHAnsi" w:hAnsiTheme="minorHAnsi"/>
          <w:color w:val="000000"/>
          <w:sz w:val="22"/>
          <w:szCs w:val="22"/>
        </w:rPr>
        <w:t>UFP-QAPP</w:t>
      </w:r>
      <w:r w:rsidR="009C5638">
        <w:rPr>
          <w:rFonts w:asciiTheme="minorHAnsi" w:hAnsiTheme="minorHAnsi"/>
          <w:color w:val="000000"/>
          <w:sz w:val="22"/>
          <w:szCs w:val="22"/>
        </w:rPr>
        <w:t>) is a consensus quality systems document prepared by</w:t>
      </w:r>
      <w:r w:rsidR="004A5FAE" w:rsidRPr="009C5638">
        <w:rPr>
          <w:rFonts w:asciiTheme="minorHAnsi" w:hAnsiTheme="minorHAnsi"/>
          <w:color w:val="000000"/>
          <w:sz w:val="22"/>
          <w:szCs w:val="22"/>
        </w:rPr>
        <w:t xml:space="preserve"> the Intergovernmental Data Quality Task Force </w:t>
      </w:r>
      <w:r w:rsidR="00204A27">
        <w:rPr>
          <w:rFonts w:asciiTheme="minorHAnsi" w:hAnsiTheme="minorHAnsi"/>
          <w:color w:val="000000"/>
          <w:sz w:val="22"/>
          <w:szCs w:val="22"/>
        </w:rPr>
        <w:t>(IDQTF)</w:t>
      </w:r>
      <w:r w:rsidR="00EF7729">
        <w:rPr>
          <w:rFonts w:asciiTheme="minorHAnsi" w:hAnsiTheme="minorHAnsi"/>
          <w:color w:val="000000"/>
          <w:sz w:val="22"/>
          <w:szCs w:val="22"/>
        </w:rPr>
        <w:t xml:space="preserve">, a working group </w:t>
      </w:r>
      <w:r w:rsidR="00204A27">
        <w:rPr>
          <w:rFonts w:asciiTheme="minorHAnsi" w:hAnsiTheme="minorHAnsi"/>
          <w:color w:val="000000"/>
          <w:sz w:val="22"/>
          <w:szCs w:val="22"/>
        </w:rPr>
        <w:t xml:space="preserve">made up of representatives from </w:t>
      </w:r>
      <w:r w:rsidRPr="009C5638">
        <w:rPr>
          <w:rFonts w:asciiTheme="minorHAnsi" w:hAnsiTheme="minorHAnsi"/>
          <w:color w:val="000000"/>
          <w:sz w:val="22"/>
          <w:szCs w:val="22"/>
        </w:rPr>
        <w:t>the U.S. Environmental Protection Agency</w:t>
      </w:r>
      <w:r w:rsidR="001F2934">
        <w:rPr>
          <w:rFonts w:asciiTheme="minorHAnsi" w:hAnsiTheme="minorHAnsi"/>
          <w:color w:val="000000"/>
          <w:sz w:val="22"/>
          <w:szCs w:val="22"/>
        </w:rPr>
        <w:t xml:space="preserve"> (EPA)</w:t>
      </w:r>
      <w:r w:rsidRPr="009C5638">
        <w:rPr>
          <w:rFonts w:asciiTheme="minorHAnsi" w:hAnsiTheme="minorHAnsi"/>
          <w:color w:val="000000"/>
          <w:sz w:val="22"/>
          <w:szCs w:val="22"/>
        </w:rPr>
        <w:t>, the Department of Defense (</w:t>
      </w:r>
      <w:proofErr w:type="gramStart"/>
      <w:r w:rsidRPr="009C5638">
        <w:rPr>
          <w:rFonts w:asciiTheme="minorHAnsi" w:hAnsiTheme="minorHAnsi"/>
          <w:color w:val="000000"/>
          <w:sz w:val="22"/>
          <w:szCs w:val="22"/>
        </w:rPr>
        <w:t>DoD</w:t>
      </w:r>
      <w:proofErr w:type="gramEnd"/>
      <w:r w:rsidRPr="009C5638">
        <w:rPr>
          <w:rFonts w:asciiTheme="minorHAnsi" w:hAnsiTheme="minorHAnsi"/>
          <w:color w:val="000000"/>
          <w:sz w:val="22"/>
          <w:szCs w:val="22"/>
        </w:rPr>
        <w:t>), and t</w:t>
      </w:r>
      <w:r w:rsidR="00F83D49">
        <w:rPr>
          <w:rFonts w:asciiTheme="minorHAnsi" w:hAnsiTheme="minorHAnsi"/>
          <w:color w:val="000000"/>
          <w:sz w:val="22"/>
          <w:szCs w:val="22"/>
        </w:rPr>
        <w:t xml:space="preserve">he Department of Energy (DOE). </w:t>
      </w:r>
      <w:r w:rsidRPr="009C5638">
        <w:rPr>
          <w:rFonts w:asciiTheme="minorHAnsi" w:hAnsiTheme="minorHAnsi"/>
          <w:color w:val="000000"/>
          <w:sz w:val="22"/>
          <w:szCs w:val="22"/>
        </w:rPr>
        <w:t>Originally issued in 2005, the UFP-QAPP was developed to provide procedures and guidance for consistently implementing the national consensus standard ANSI/ASQ E-4</w:t>
      </w:r>
      <w:r w:rsidR="00204A27">
        <w:rPr>
          <w:rFonts w:asciiTheme="minorHAnsi" w:hAnsiTheme="minorHAnsi"/>
          <w:color w:val="000000"/>
          <w:sz w:val="22"/>
          <w:szCs w:val="22"/>
        </w:rPr>
        <w:t xml:space="preserve">, </w:t>
      </w:r>
      <w:r w:rsidR="00204A27">
        <w:rPr>
          <w:rFonts w:asciiTheme="minorHAnsi" w:hAnsiTheme="minorHAnsi"/>
          <w:i/>
          <w:color w:val="000000"/>
          <w:sz w:val="22"/>
          <w:szCs w:val="22"/>
        </w:rPr>
        <w:t>Quality Systems for Environmental Data and Technology Programs,</w:t>
      </w:r>
      <w:r w:rsidRPr="009C5638">
        <w:rPr>
          <w:rFonts w:asciiTheme="minorHAnsi" w:hAnsiTheme="minorHAnsi"/>
          <w:color w:val="000000"/>
          <w:sz w:val="22"/>
          <w:szCs w:val="22"/>
        </w:rPr>
        <w:t xml:space="preserve"> for the collection and use of environment</w:t>
      </w:r>
      <w:r w:rsidR="00F83D49">
        <w:rPr>
          <w:rFonts w:asciiTheme="minorHAnsi" w:hAnsiTheme="minorHAnsi"/>
          <w:color w:val="000000"/>
          <w:sz w:val="22"/>
          <w:szCs w:val="22"/>
        </w:rPr>
        <w:t>al data at Federal facilities.</w:t>
      </w:r>
    </w:p>
    <w:p w:rsidR="004A5FAE" w:rsidRPr="009C5638" w:rsidRDefault="004A5FAE" w:rsidP="00E6560C">
      <w:pPr>
        <w:pStyle w:val="CM113"/>
        <w:spacing w:after="255" w:line="243" w:lineRule="atLeast"/>
        <w:jc w:val="both"/>
        <w:rPr>
          <w:rFonts w:asciiTheme="minorHAnsi" w:hAnsiTheme="minorHAnsi"/>
          <w:color w:val="000000"/>
          <w:sz w:val="22"/>
          <w:szCs w:val="22"/>
        </w:rPr>
      </w:pPr>
      <w:r w:rsidRPr="009C5638">
        <w:rPr>
          <w:rFonts w:asciiTheme="minorHAnsi" w:hAnsiTheme="minorHAnsi"/>
          <w:color w:val="000000"/>
          <w:sz w:val="22"/>
          <w:szCs w:val="22"/>
        </w:rPr>
        <w:t>The UFP-QAPP co</w:t>
      </w:r>
      <w:r w:rsidR="00F83D49">
        <w:rPr>
          <w:rFonts w:asciiTheme="minorHAnsi" w:hAnsiTheme="minorHAnsi"/>
          <w:color w:val="000000"/>
          <w:sz w:val="22"/>
          <w:szCs w:val="22"/>
        </w:rPr>
        <w:t>nsists of the following parts:</w:t>
      </w:r>
    </w:p>
    <w:p w:rsidR="004A5FAE" w:rsidRPr="009C5638" w:rsidRDefault="004A5FAE" w:rsidP="004A5FAE">
      <w:pPr>
        <w:pStyle w:val="Default"/>
        <w:ind w:left="720"/>
        <w:rPr>
          <w:rFonts w:asciiTheme="minorHAnsi" w:hAnsiTheme="minorHAnsi"/>
          <w:sz w:val="22"/>
          <w:szCs w:val="22"/>
        </w:rPr>
      </w:pPr>
      <w:r w:rsidRPr="009C5638">
        <w:rPr>
          <w:rFonts w:asciiTheme="minorHAnsi" w:hAnsiTheme="minorHAnsi"/>
          <w:sz w:val="22"/>
          <w:szCs w:val="22"/>
        </w:rPr>
        <w:t>Part 1: UFP-QAPP Manual</w:t>
      </w:r>
      <w:r w:rsidR="001F2934">
        <w:rPr>
          <w:rFonts w:asciiTheme="minorHAnsi" w:hAnsiTheme="minorHAnsi"/>
          <w:sz w:val="22"/>
          <w:szCs w:val="22"/>
        </w:rPr>
        <w:t xml:space="preserve"> – general guidance and instructions for preparing QAPPs</w:t>
      </w:r>
    </w:p>
    <w:p w:rsidR="004A5FAE" w:rsidRPr="009C5638" w:rsidRDefault="00F83D49" w:rsidP="004A5FAE">
      <w:pPr>
        <w:pStyle w:val="Default"/>
        <w:ind w:left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Part 2A: </w:t>
      </w:r>
      <w:r w:rsidR="004A5FAE" w:rsidRPr="009C5638">
        <w:rPr>
          <w:rFonts w:asciiTheme="minorHAnsi" w:hAnsiTheme="minorHAnsi"/>
          <w:sz w:val="22"/>
          <w:szCs w:val="22"/>
        </w:rPr>
        <w:t>UFP-QAPP Workbook</w:t>
      </w:r>
      <w:r w:rsidR="001F2934">
        <w:rPr>
          <w:rFonts w:asciiTheme="minorHAnsi" w:hAnsiTheme="minorHAnsi"/>
          <w:sz w:val="22"/>
          <w:szCs w:val="22"/>
        </w:rPr>
        <w:t xml:space="preserve"> – a collection of templates or workshee</w:t>
      </w:r>
      <w:r w:rsidR="00753025">
        <w:rPr>
          <w:rFonts w:asciiTheme="minorHAnsi" w:hAnsiTheme="minorHAnsi"/>
          <w:sz w:val="22"/>
          <w:szCs w:val="22"/>
        </w:rPr>
        <w:t>ts that, once completed, addresses</w:t>
      </w:r>
      <w:r w:rsidR="001F2934">
        <w:rPr>
          <w:rFonts w:asciiTheme="minorHAnsi" w:hAnsiTheme="minorHAnsi"/>
          <w:sz w:val="22"/>
          <w:szCs w:val="22"/>
        </w:rPr>
        <w:t xml:space="preserve"> all required elements of a QAPP</w:t>
      </w:r>
    </w:p>
    <w:p w:rsidR="004A5FAE" w:rsidRPr="009C5638" w:rsidRDefault="00F83D49" w:rsidP="004A5FAE">
      <w:pPr>
        <w:pStyle w:val="Default"/>
        <w:ind w:left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Part 2B: </w:t>
      </w:r>
      <w:r w:rsidR="004A5FAE" w:rsidRPr="009C5638">
        <w:rPr>
          <w:rFonts w:asciiTheme="minorHAnsi" w:hAnsiTheme="minorHAnsi"/>
          <w:sz w:val="22"/>
          <w:szCs w:val="22"/>
        </w:rPr>
        <w:t>UFP-QAPP Compendium</w:t>
      </w:r>
      <w:r w:rsidR="001F2934">
        <w:rPr>
          <w:rFonts w:asciiTheme="minorHAnsi" w:hAnsiTheme="minorHAnsi"/>
          <w:sz w:val="22"/>
          <w:szCs w:val="22"/>
        </w:rPr>
        <w:t xml:space="preserve"> – specifications for minimum quality assurance (QA) and quality control (QC) activities for hazardous waste projects</w:t>
      </w:r>
    </w:p>
    <w:p w:rsidR="004A5FAE" w:rsidRPr="009C5638" w:rsidRDefault="00F83D49" w:rsidP="004A5FAE">
      <w:pPr>
        <w:pStyle w:val="Default"/>
        <w:ind w:left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Part 2C: </w:t>
      </w:r>
      <w:r w:rsidR="004A5FAE" w:rsidRPr="009C5638">
        <w:rPr>
          <w:rFonts w:asciiTheme="minorHAnsi" w:hAnsiTheme="minorHAnsi"/>
          <w:sz w:val="22"/>
          <w:szCs w:val="22"/>
        </w:rPr>
        <w:t>Example QAPPs</w:t>
      </w:r>
      <w:r w:rsidR="001F2934">
        <w:rPr>
          <w:rFonts w:asciiTheme="minorHAnsi" w:hAnsiTheme="minorHAnsi"/>
          <w:sz w:val="22"/>
          <w:szCs w:val="22"/>
        </w:rPr>
        <w:t xml:space="preserve"> – documents illustrating the implementation of the UFP-QAPP and use of the worksheets for different types of projects in a </w:t>
      </w:r>
      <w:r w:rsidR="001F2934" w:rsidRPr="001F2934">
        <w:rPr>
          <w:rFonts w:asciiTheme="minorHAnsi" w:hAnsiTheme="minorHAnsi"/>
          <w:i/>
          <w:sz w:val="22"/>
          <w:szCs w:val="22"/>
        </w:rPr>
        <w:t>graded approach</w:t>
      </w:r>
    </w:p>
    <w:p w:rsidR="004A5FAE" w:rsidRPr="009C5638" w:rsidRDefault="004A5FAE" w:rsidP="004A5FAE">
      <w:pPr>
        <w:pStyle w:val="Default"/>
        <w:rPr>
          <w:rFonts w:asciiTheme="minorHAnsi" w:hAnsiTheme="minorHAnsi"/>
          <w:sz w:val="22"/>
          <w:szCs w:val="22"/>
        </w:rPr>
      </w:pPr>
    </w:p>
    <w:p w:rsidR="001F2934" w:rsidRPr="009C5638" w:rsidRDefault="004A5FAE" w:rsidP="001F2934">
      <w:pPr>
        <w:pStyle w:val="CM113"/>
        <w:spacing w:after="255" w:line="243" w:lineRule="atLeast"/>
        <w:jc w:val="both"/>
        <w:rPr>
          <w:rFonts w:asciiTheme="minorHAnsi" w:hAnsiTheme="minorHAnsi"/>
          <w:color w:val="000000"/>
          <w:sz w:val="22"/>
          <w:szCs w:val="22"/>
        </w:rPr>
      </w:pPr>
      <w:r w:rsidRPr="009C5638">
        <w:rPr>
          <w:rFonts w:asciiTheme="minorHAnsi" w:hAnsiTheme="minorHAnsi"/>
          <w:color w:val="000000"/>
          <w:sz w:val="22"/>
          <w:szCs w:val="22"/>
        </w:rPr>
        <w:t xml:space="preserve">This document represents the first revision to </w:t>
      </w:r>
      <w:r w:rsidRPr="009C5638">
        <w:rPr>
          <w:rFonts w:asciiTheme="minorHAnsi" w:hAnsiTheme="minorHAnsi"/>
          <w:sz w:val="22"/>
          <w:szCs w:val="22"/>
        </w:rPr>
        <w:t>Part</w:t>
      </w:r>
      <w:r w:rsidRPr="009C5638">
        <w:rPr>
          <w:rFonts w:asciiTheme="minorHAnsi" w:hAnsiTheme="minorHAnsi"/>
          <w:color w:val="000000"/>
          <w:sz w:val="22"/>
          <w:szCs w:val="22"/>
        </w:rPr>
        <w:t xml:space="preserve"> 2A</w:t>
      </w:r>
      <w:r w:rsidR="00EF7729">
        <w:rPr>
          <w:rFonts w:asciiTheme="minorHAnsi" w:hAnsiTheme="minorHAnsi"/>
          <w:sz w:val="22"/>
          <w:szCs w:val="22"/>
        </w:rPr>
        <w:t xml:space="preserve">: </w:t>
      </w:r>
      <w:r w:rsidRPr="009C5638">
        <w:rPr>
          <w:rFonts w:asciiTheme="minorHAnsi" w:hAnsiTheme="minorHAnsi"/>
          <w:sz w:val="22"/>
          <w:szCs w:val="22"/>
        </w:rPr>
        <w:t xml:space="preserve">The UFP-QAPP </w:t>
      </w:r>
      <w:r w:rsidRPr="009C5638">
        <w:rPr>
          <w:rFonts w:asciiTheme="minorHAnsi" w:hAnsiTheme="minorHAnsi"/>
          <w:color w:val="000000"/>
          <w:sz w:val="22"/>
          <w:szCs w:val="22"/>
        </w:rPr>
        <w:t>Workbook</w:t>
      </w:r>
      <w:r w:rsidR="00F83D49">
        <w:rPr>
          <w:rFonts w:asciiTheme="minorHAnsi" w:hAnsiTheme="minorHAnsi"/>
          <w:sz w:val="22"/>
          <w:szCs w:val="22"/>
        </w:rPr>
        <w:t xml:space="preserve">. </w:t>
      </w:r>
      <w:r w:rsidR="00E6560C" w:rsidRPr="009C5638">
        <w:rPr>
          <w:rFonts w:asciiTheme="minorHAnsi" w:hAnsiTheme="minorHAnsi"/>
          <w:color w:val="000000"/>
          <w:sz w:val="22"/>
          <w:szCs w:val="22"/>
        </w:rPr>
        <w:t xml:space="preserve">The </w:t>
      </w:r>
      <w:r w:rsidR="00C061C4" w:rsidRPr="009C5638">
        <w:rPr>
          <w:rFonts w:asciiTheme="minorHAnsi" w:hAnsiTheme="minorHAnsi"/>
          <w:color w:val="000000"/>
          <w:sz w:val="22"/>
          <w:szCs w:val="22"/>
        </w:rPr>
        <w:t xml:space="preserve">original </w:t>
      </w:r>
      <w:r w:rsidRPr="009C5638">
        <w:rPr>
          <w:rFonts w:asciiTheme="minorHAnsi" w:hAnsiTheme="minorHAnsi"/>
          <w:color w:val="000000"/>
          <w:sz w:val="22"/>
          <w:szCs w:val="22"/>
        </w:rPr>
        <w:t xml:space="preserve">workbook consisted of </w:t>
      </w:r>
      <w:r w:rsidR="00E6560C" w:rsidRPr="009C5638">
        <w:rPr>
          <w:rFonts w:asciiTheme="minorHAnsi" w:hAnsiTheme="minorHAnsi"/>
          <w:color w:val="000000"/>
          <w:sz w:val="22"/>
          <w:szCs w:val="22"/>
        </w:rPr>
        <w:t xml:space="preserve">37 worksheets </w:t>
      </w:r>
      <w:r w:rsidR="009C5638">
        <w:rPr>
          <w:rFonts w:asciiTheme="minorHAnsi" w:hAnsiTheme="minorHAnsi"/>
          <w:sz w:val="22"/>
          <w:szCs w:val="22"/>
        </w:rPr>
        <w:t xml:space="preserve">or templates, </w:t>
      </w:r>
      <w:r w:rsidRPr="009C5638">
        <w:rPr>
          <w:rFonts w:asciiTheme="minorHAnsi" w:hAnsiTheme="minorHAnsi"/>
          <w:color w:val="000000"/>
          <w:sz w:val="22"/>
          <w:szCs w:val="22"/>
        </w:rPr>
        <w:t>designed to facilitate the preparation</w:t>
      </w:r>
      <w:r w:rsidR="00F83D49">
        <w:rPr>
          <w:rFonts w:asciiTheme="minorHAnsi" w:hAnsiTheme="minorHAnsi"/>
          <w:sz w:val="22"/>
          <w:szCs w:val="22"/>
        </w:rPr>
        <w:t xml:space="preserve"> of QAPPs. </w:t>
      </w:r>
      <w:r w:rsidR="00C6427D">
        <w:rPr>
          <w:rFonts w:asciiTheme="minorHAnsi" w:hAnsiTheme="minorHAnsi"/>
          <w:sz w:val="22"/>
          <w:szCs w:val="22"/>
        </w:rPr>
        <w:t xml:space="preserve">By walking the project team and other stakeholders through a </w:t>
      </w:r>
      <w:r w:rsidR="00C6427D" w:rsidRPr="00E0490D">
        <w:rPr>
          <w:rFonts w:asciiTheme="minorHAnsi" w:hAnsiTheme="minorHAnsi"/>
          <w:i/>
          <w:sz w:val="22"/>
          <w:szCs w:val="22"/>
        </w:rPr>
        <w:t>systematic planning process</w:t>
      </w:r>
      <w:r w:rsidR="00C6427D">
        <w:rPr>
          <w:rFonts w:asciiTheme="minorHAnsi" w:hAnsiTheme="minorHAnsi"/>
          <w:sz w:val="22"/>
          <w:szCs w:val="22"/>
        </w:rPr>
        <w:t xml:space="preserve">, the worksheets </w:t>
      </w:r>
      <w:r w:rsidR="00E0490D">
        <w:rPr>
          <w:rFonts w:asciiTheme="minorHAnsi" w:hAnsiTheme="minorHAnsi"/>
          <w:sz w:val="22"/>
          <w:szCs w:val="22"/>
        </w:rPr>
        <w:t>were designed to help focus</w:t>
      </w:r>
      <w:r w:rsidR="00C6427D">
        <w:rPr>
          <w:rFonts w:asciiTheme="minorHAnsi" w:hAnsiTheme="minorHAnsi"/>
          <w:sz w:val="22"/>
          <w:szCs w:val="22"/>
        </w:rPr>
        <w:t xml:space="preserve"> data collection on the specific decisions to be made so that the type, quality, and quantity of data to be collected </w:t>
      </w:r>
      <w:r w:rsidR="00E0490D">
        <w:rPr>
          <w:rFonts w:asciiTheme="minorHAnsi" w:hAnsiTheme="minorHAnsi"/>
          <w:sz w:val="22"/>
          <w:szCs w:val="22"/>
        </w:rPr>
        <w:t>would be</w:t>
      </w:r>
      <w:r w:rsidR="00C6427D">
        <w:rPr>
          <w:rFonts w:asciiTheme="minorHAnsi" w:hAnsiTheme="minorHAnsi"/>
          <w:sz w:val="22"/>
          <w:szCs w:val="22"/>
        </w:rPr>
        <w:t xml:space="preserve"> </w:t>
      </w:r>
      <w:r w:rsidR="00EF7729">
        <w:rPr>
          <w:rFonts w:asciiTheme="minorHAnsi" w:hAnsiTheme="minorHAnsi"/>
          <w:sz w:val="22"/>
          <w:szCs w:val="22"/>
        </w:rPr>
        <w:t xml:space="preserve">suitable for their intended uses and </w:t>
      </w:r>
      <w:r w:rsidR="00C6427D">
        <w:rPr>
          <w:rFonts w:asciiTheme="minorHAnsi" w:hAnsiTheme="minorHAnsi"/>
          <w:sz w:val="22"/>
          <w:szCs w:val="22"/>
        </w:rPr>
        <w:t>agreed up</w:t>
      </w:r>
      <w:r w:rsidR="00E0490D">
        <w:rPr>
          <w:rFonts w:asciiTheme="minorHAnsi" w:hAnsiTheme="minorHAnsi"/>
          <w:sz w:val="22"/>
          <w:szCs w:val="22"/>
        </w:rPr>
        <w:t>on before data collection began</w:t>
      </w:r>
      <w:r w:rsidR="00F83D49">
        <w:rPr>
          <w:rFonts w:asciiTheme="minorHAnsi" w:hAnsiTheme="minorHAnsi"/>
          <w:sz w:val="22"/>
          <w:szCs w:val="22"/>
        </w:rPr>
        <w:t>.</w:t>
      </w:r>
    </w:p>
    <w:p w:rsidR="00C061C4" w:rsidRDefault="009C5638" w:rsidP="004A5FAE">
      <w:pPr>
        <w:pStyle w:val="Default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Although use of the </w:t>
      </w:r>
      <w:r w:rsidR="00621F9F">
        <w:rPr>
          <w:rFonts w:asciiTheme="minorHAnsi" w:hAnsiTheme="minorHAnsi"/>
          <w:sz w:val="22"/>
          <w:szCs w:val="22"/>
        </w:rPr>
        <w:t xml:space="preserve">UFP-QAPP </w:t>
      </w:r>
      <w:r>
        <w:rPr>
          <w:rFonts w:asciiTheme="minorHAnsi" w:hAnsiTheme="minorHAnsi"/>
          <w:sz w:val="22"/>
          <w:szCs w:val="22"/>
        </w:rPr>
        <w:t xml:space="preserve">workbook has </w:t>
      </w:r>
      <w:r w:rsidR="00D91D36">
        <w:rPr>
          <w:rFonts w:asciiTheme="minorHAnsi" w:hAnsiTheme="minorHAnsi"/>
          <w:sz w:val="22"/>
          <w:szCs w:val="22"/>
        </w:rPr>
        <w:t xml:space="preserve">streamlined the preparation and review of QAPPs </w:t>
      </w:r>
      <w:r>
        <w:rPr>
          <w:rFonts w:asciiTheme="minorHAnsi" w:hAnsiTheme="minorHAnsi"/>
          <w:sz w:val="22"/>
          <w:szCs w:val="22"/>
        </w:rPr>
        <w:t xml:space="preserve">over the past several years, </w:t>
      </w:r>
      <w:r w:rsidR="002F1FCB">
        <w:rPr>
          <w:rFonts w:asciiTheme="minorHAnsi" w:hAnsiTheme="minorHAnsi"/>
          <w:sz w:val="22"/>
          <w:szCs w:val="22"/>
        </w:rPr>
        <w:t>it has also revealed opportunities for improvement</w:t>
      </w:r>
      <w:r w:rsidR="00F83D49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In 2010, the IDQTF established a subgroup to make recommendations </w:t>
      </w:r>
      <w:r w:rsidR="00F83D49">
        <w:rPr>
          <w:rFonts w:asciiTheme="minorHAnsi" w:hAnsiTheme="minorHAnsi"/>
          <w:sz w:val="22"/>
          <w:szCs w:val="22"/>
        </w:rPr>
        <w:t xml:space="preserve">for optimizing the worksheets. </w:t>
      </w:r>
      <w:r w:rsidR="00C061C4" w:rsidRPr="009C5638">
        <w:rPr>
          <w:rFonts w:asciiTheme="minorHAnsi" w:hAnsiTheme="minorHAnsi" w:cs="Times New Roman"/>
          <w:sz w:val="22"/>
          <w:szCs w:val="22"/>
        </w:rPr>
        <w:t>The optimization effort was performed with the following objectives:</w:t>
      </w:r>
    </w:p>
    <w:p w:rsidR="002F1FCB" w:rsidRPr="009C5638" w:rsidRDefault="002F1FCB" w:rsidP="004A5FAE">
      <w:pPr>
        <w:pStyle w:val="Default"/>
        <w:rPr>
          <w:rFonts w:asciiTheme="minorHAnsi" w:hAnsiTheme="minorHAnsi" w:cs="Times New Roman"/>
          <w:sz w:val="22"/>
          <w:szCs w:val="22"/>
        </w:rPr>
      </w:pPr>
    </w:p>
    <w:p w:rsidR="00C061C4" w:rsidRPr="009C5638" w:rsidRDefault="00C061C4" w:rsidP="001A70E8">
      <w:pPr>
        <w:pStyle w:val="CM113"/>
        <w:numPr>
          <w:ilvl w:val="0"/>
          <w:numId w:val="4"/>
        </w:numPr>
        <w:spacing w:after="240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9C5638">
        <w:rPr>
          <w:rFonts w:asciiTheme="minorHAnsi" w:hAnsiTheme="minorHAnsi"/>
          <w:color w:val="000000"/>
          <w:sz w:val="22"/>
          <w:szCs w:val="22"/>
        </w:rPr>
        <w:t xml:space="preserve">Eliminate redundancy of </w:t>
      </w:r>
      <w:r w:rsidR="002F1FCB">
        <w:rPr>
          <w:rFonts w:asciiTheme="minorHAnsi" w:hAnsiTheme="minorHAnsi"/>
          <w:color w:val="000000"/>
          <w:sz w:val="22"/>
          <w:szCs w:val="22"/>
        </w:rPr>
        <w:t>information contained in certain worksheets;</w:t>
      </w:r>
    </w:p>
    <w:p w:rsidR="001A70E8" w:rsidRPr="009C5638" w:rsidRDefault="001A70E8" w:rsidP="001A70E8">
      <w:pPr>
        <w:pStyle w:val="CM113"/>
        <w:numPr>
          <w:ilvl w:val="0"/>
          <w:numId w:val="4"/>
        </w:numPr>
        <w:spacing w:after="255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9C5638">
        <w:rPr>
          <w:rFonts w:asciiTheme="minorHAnsi" w:hAnsiTheme="minorHAnsi"/>
          <w:color w:val="000000"/>
          <w:sz w:val="22"/>
          <w:szCs w:val="22"/>
        </w:rPr>
        <w:t>Increase the ease of worksh</w:t>
      </w:r>
      <w:r w:rsidR="002F1FCB">
        <w:rPr>
          <w:rFonts w:asciiTheme="minorHAnsi" w:hAnsiTheme="minorHAnsi"/>
          <w:color w:val="000000"/>
          <w:sz w:val="22"/>
          <w:szCs w:val="22"/>
        </w:rPr>
        <w:t>eet population, review, and use;</w:t>
      </w:r>
    </w:p>
    <w:p w:rsidR="001A70E8" w:rsidRPr="009C5638" w:rsidRDefault="001A70E8" w:rsidP="001A70E8">
      <w:pPr>
        <w:pStyle w:val="CM113"/>
        <w:numPr>
          <w:ilvl w:val="0"/>
          <w:numId w:val="4"/>
        </w:numPr>
        <w:spacing w:after="255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9C5638">
        <w:rPr>
          <w:rFonts w:asciiTheme="minorHAnsi" w:hAnsiTheme="minorHAnsi"/>
          <w:color w:val="000000"/>
          <w:sz w:val="22"/>
          <w:szCs w:val="22"/>
        </w:rPr>
        <w:t xml:space="preserve">Clarify and promote the use of the </w:t>
      </w:r>
      <w:r w:rsidR="00B408ED">
        <w:rPr>
          <w:rFonts w:asciiTheme="minorHAnsi" w:hAnsiTheme="minorHAnsi"/>
          <w:color w:val="000000"/>
          <w:sz w:val="22"/>
          <w:szCs w:val="22"/>
        </w:rPr>
        <w:t xml:space="preserve">systematic planning process and </w:t>
      </w:r>
      <w:r w:rsidR="000945EB">
        <w:rPr>
          <w:rFonts w:asciiTheme="minorHAnsi" w:hAnsiTheme="minorHAnsi"/>
          <w:color w:val="000000"/>
          <w:sz w:val="22"/>
          <w:szCs w:val="22"/>
        </w:rPr>
        <w:t xml:space="preserve">the implementation of </w:t>
      </w:r>
      <w:r w:rsidR="00B408ED">
        <w:rPr>
          <w:rFonts w:asciiTheme="minorHAnsi" w:hAnsiTheme="minorHAnsi"/>
          <w:color w:val="000000"/>
          <w:sz w:val="22"/>
          <w:szCs w:val="22"/>
        </w:rPr>
        <w:t xml:space="preserve">a </w:t>
      </w:r>
      <w:r w:rsidRPr="009C5638">
        <w:rPr>
          <w:rFonts w:asciiTheme="minorHAnsi" w:hAnsiTheme="minorHAnsi"/>
          <w:color w:val="000000"/>
          <w:sz w:val="22"/>
          <w:szCs w:val="22"/>
        </w:rPr>
        <w:t>graded approach</w:t>
      </w:r>
      <w:r w:rsidR="002F1FCB">
        <w:rPr>
          <w:rFonts w:asciiTheme="minorHAnsi" w:hAnsiTheme="minorHAnsi"/>
          <w:color w:val="000000"/>
          <w:sz w:val="22"/>
          <w:szCs w:val="22"/>
        </w:rPr>
        <w:t>; and</w:t>
      </w:r>
    </w:p>
    <w:p w:rsidR="002F1FCB" w:rsidRDefault="00B408ED" w:rsidP="003C2C09">
      <w:pPr>
        <w:pStyle w:val="CM113"/>
        <w:numPr>
          <w:ilvl w:val="0"/>
          <w:numId w:val="4"/>
        </w:numPr>
        <w:spacing w:after="255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P</w:t>
      </w:r>
      <w:r w:rsidR="001A70E8" w:rsidRPr="009C5638">
        <w:rPr>
          <w:rFonts w:asciiTheme="minorHAnsi" w:hAnsiTheme="minorHAnsi"/>
          <w:color w:val="000000"/>
          <w:sz w:val="22"/>
          <w:szCs w:val="22"/>
        </w:rPr>
        <w:t xml:space="preserve">romote consistency </w:t>
      </w:r>
      <w:r w:rsidR="002F1FCB">
        <w:rPr>
          <w:rFonts w:asciiTheme="minorHAnsi" w:hAnsiTheme="minorHAnsi"/>
          <w:color w:val="000000"/>
          <w:sz w:val="22"/>
          <w:szCs w:val="22"/>
        </w:rPr>
        <w:t xml:space="preserve">in </w:t>
      </w:r>
      <w:r w:rsidR="00EF7729">
        <w:rPr>
          <w:rFonts w:asciiTheme="minorHAnsi" w:hAnsiTheme="minorHAnsi"/>
          <w:color w:val="000000"/>
          <w:sz w:val="22"/>
          <w:szCs w:val="22"/>
        </w:rPr>
        <w:t xml:space="preserve">the use of </w:t>
      </w:r>
      <w:r w:rsidR="00D91D36">
        <w:rPr>
          <w:rFonts w:asciiTheme="minorHAnsi" w:hAnsiTheme="minorHAnsi"/>
          <w:color w:val="000000"/>
          <w:sz w:val="22"/>
          <w:szCs w:val="22"/>
        </w:rPr>
        <w:t xml:space="preserve">QA/QC </w:t>
      </w:r>
      <w:r w:rsidR="001A70E8" w:rsidRPr="009C5638">
        <w:rPr>
          <w:rFonts w:asciiTheme="minorHAnsi" w:hAnsiTheme="minorHAnsi"/>
          <w:color w:val="000000"/>
          <w:sz w:val="22"/>
          <w:szCs w:val="22"/>
        </w:rPr>
        <w:t xml:space="preserve">terminology and procedures </w:t>
      </w:r>
      <w:r w:rsidR="002F1FCB">
        <w:rPr>
          <w:rFonts w:asciiTheme="minorHAnsi" w:hAnsiTheme="minorHAnsi"/>
          <w:color w:val="000000"/>
          <w:sz w:val="22"/>
          <w:szCs w:val="22"/>
        </w:rPr>
        <w:t>among</w:t>
      </w:r>
      <w:r w:rsidR="001A70E8" w:rsidRPr="009C5638">
        <w:rPr>
          <w:rFonts w:asciiTheme="minorHAnsi" w:hAnsiTheme="minorHAnsi"/>
          <w:color w:val="000000"/>
          <w:sz w:val="22"/>
          <w:szCs w:val="22"/>
        </w:rPr>
        <w:t xml:space="preserve"> the Federal agencies.</w:t>
      </w:r>
    </w:p>
    <w:p w:rsidR="00204A27" w:rsidRDefault="00204A27" w:rsidP="00204A27">
      <w:pPr>
        <w:pStyle w:val="Default"/>
        <w:rPr>
          <w:rFonts w:asciiTheme="minorHAnsi" w:hAnsiTheme="minorHAnsi"/>
          <w:b/>
          <w:sz w:val="22"/>
          <w:szCs w:val="22"/>
        </w:rPr>
      </w:pPr>
      <w:r w:rsidRPr="00621F9F">
        <w:rPr>
          <w:rFonts w:asciiTheme="minorHAnsi" w:hAnsiTheme="minorHAnsi"/>
          <w:b/>
          <w:sz w:val="22"/>
          <w:szCs w:val="22"/>
        </w:rPr>
        <w:t xml:space="preserve">Overview of Part 2A, </w:t>
      </w:r>
      <w:r>
        <w:rPr>
          <w:rFonts w:asciiTheme="minorHAnsi" w:hAnsiTheme="minorHAnsi"/>
          <w:b/>
          <w:sz w:val="22"/>
          <w:szCs w:val="22"/>
        </w:rPr>
        <w:t>Revision</w:t>
      </w:r>
      <w:r w:rsidRPr="00621F9F">
        <w:rPr>
          <w:rFonts w:asciiTheme="minorHAnsi" w:hAnsiTheme="minorHAnsi"/>
          <w:b/>
          <w:sz w:val="22"/>
          <w:szCs w:val="22"/>
        </w:rPr>
        <w:t xml:space="preserve"> 1</w:t>
      </w:r>
    </w:p>
    <w:p w:rsidR="00204A27" w:rsidRPr="00621F9F" w:rsidRDefault="00204A27" w:rsidP="00204A27">
      <w:pPr>
        <w:pStyle w:val="Default"/>
        <w:rPr>
          <w:rFonts w:asciiTheme="minorHAnsi" w:hAnsiTheme="minorHAnsi"/>
          <w:b/>
          <w:sz w:val="22"/>
          <w:szCs w:val="22"/>
        </w:rPr>
      </w:pPr>
    </w:p>
    <w:p w:rsidR="00204A27" w:rsidRDefault="00482DBE" w:rsidP="00204A27">
      <w:pPr>
        <w:pStyle w:val="CM113"/>
        <w:spacing w:after="255"/>
        <w:contextualSpacing/>
        <w:jc w:val="both"/>
        <w:rPr>
          <w:rFonts w:asciiTheme="minorHAnsi" w:hAnsiTheme="minorHAnsi"/>
          <w:sz w:val="22"/>
          <w:szCs w:val="22"/>
        </w:rPr>
      </w:pPr>
      <w:r w:rsidRPr="002F1FCB">
        <w:rPr>
          <w:rFonts w:asciiTheme="minorHAnsi" w:hAnsiTheme="minorHAnsi"/>
          <w:color w:val="000000"/>
          <w:sz w:val="22"/>
          <w:szCs w:val="22"/>
        </w:rPr>
        <w:t xml:space="preserve">The optimization of the UFP-QAPP worksheets was </w:t>
      </w:r>
      <w:r w:rsidR="00BC7D5A" w:rsidRPr="002F1FCB">
        <w:rPr>
          <w:rFonts w:asciiTheme="minorHAnsi" w:hAnsiTheme="minorHAnsi"/>
          <w:color w:val="000000"/>
          <w:sz w:val="22"/>
          <w:szCs w:val="22"/>
        </w:rPr>
        <w:t xml:space="preserve">performed </w:t>
      </w:r>
      <w:r w:rsidR="00B408ED">
        <w:rPr>
          <w:rFonts w:asciiTheme="minorHAnsi" w:hAnsiTheme="minorHAnsi"/>
          <w:color w:val="000000"/>
          <w:sz w:val="22"/>
          <w:szCs w:val="22"/>
        </w:rPr>
        <w:t xml:space="preserve">in close coordination </w:t>
      </w:r>
      <w:r w:rsidR="00D91D36">
        <w:rPr>
          <w:rFonts w:asciiTheme="minorHAnsi" w:hAnsiTheme="minorHAnsi"/>
          <w:color w:val="000000"/>
          <w:sz w:val="22"/>
          <w:szCs w:val="22"/>
        </w:rPr>
        <w:t>with EPA’s</w:t>
      </w:r>
      <w:r w:rsidRPr="002F1FCB">
        <w:rPr>
          <w:rFonts w:asciiTheme="minorHAnsi" w:hAnsiTheme="minorHAnsi"/>
          <w:color w:val="000000"/>
          <w:sz w:val="22"/>
          <w:szCs w:val="22"/>
        </w:rPr>
        <w:t xml:space="preserve"> update of </w:t>
      </w:r>
      <w:r w:rsidR="00BC7D5A" w:rsidRPr="002F1FCB">
        <w:rPr>
          <w:rFonts w:asciiTheme="minorHAnsi" w:hAnsiTheme="minorHAnsi"/>
          <w:color w:val="000000"/>
          <w:sz w:val="22"/>
          <w:szCs w:val="22"/>
        </w:rPr>
        <w:t>QA/G5</w:t>
      </w:r>
      <w:r w:rsidRPr="002F1FCB">
        <w:rPr>
          <w:rFonts w:asciiTheme="minorHAnsi" w:hAnsiTheme="minorHAnsi"/>
          <w:sz w:val="22"/>
          <w:szCs w:val="22"/>
        </w:rPr>
        <w:t xml:space="preserve">, </w:t>
      </w:r>
      <w:r w:rsidRPr="002F1FCB">
        <w:rPr>
          <w:rFonts w:asciiTheme="minorHAnsi" w:hAnsiTheme="minorHAnsi"/>
          <w:i/>
          <w:sz w:val="22"/>
          <w:szCs w:val="22"/>
        </w:rPr>
        <w:t>Guidance for Quality Assurance Project Plans</w:t>
      </w:r>
      <w:r w:rsidRPr="002F1FCB">
        <w:rPr>
          <w:rFonts w:asciiTheme="minorHAnsi" w:hAnsiTheme="minorHAnsi"/>
          <w:sz w:val="22"/>
          <w:szCs w:val="22"/>
        </w:rPr>
        <w:t xml:space="preserve">, </w:t>
      </w:r>
      <w:r w:rsidR="00B408ED">
        <w:rPr>
          <w:rFonts w:asciiTheme="minorHAnsi" w:hAnsiTheme="minorHAnsi"/>
          <w:sz w:val="22"/>
          <w:szCs w:val="22"/>
        </w:rPr>
        <w:t>which has been</w:t>
      </w:r>
      <w:r w:rsidR="00BC7D5A" w:rsidRPr="002F1FCB">
        <w:rPr>
          <w:rFonts w:asciiTheme="minorHAnsi" w:hAnsiTheme="minorHAnsi"/>
          <w:sz w:val="22"/>
          <w:szCs w:val="22"/>
        </w:rPr>
        <w:t xml:space="preserve"> </w:t>
      </w:r>
      <w:r w:rsidRPr="002F1FCB">
        <w:rPr>
          <w:rFonts w:asciiTheme="minorHAnsi" w:hAnsiTheme="minorHAnsi"/>
          <w:sz w:val="22"/>
          <w:szCs w:val="22"/>
        </w:rPr>
        <w:t>superseded by (CIO 2106-G-05 QAPP</w:t>
      </w:r>
      <w:r w:rsidR="00BC7D5A" w:rsidRPr="002F1FCB">
        <w:rPr>
          <w:rFonts w:asciiTheme="minorHAnsi" w:hAnsiTheme="minorHAnsi"/>
          <w:sz w:val="22"/>
          <w:szCs w:val="22"/>
        </w:rPr>
        <w:t>, September 2011</w:t>
      </w:r>
      <w:r w:rsidR="00B408ED">
        <w:rPr>
          <w:rFonts w:asciiTheme="minorHAnsi" w:hAnsiTheme="minorHAnsi"/>
          <w:sz w:val="22"/>
          <w:szCs w:val="22"/>
        </w:rPr>
        <w:t xml:space="preserve">), to promote </w:t>
      </w:r>
      <w:r w:rsidR="00BC7D5A" w:rsidRPr="002F1FCB">
        <w:rPr>
          <w:rFonts w:asciiTheme="minorHAnsi" w:hAnsiTheme="minorHAnsi"/>
          <w:sz w:val="22"/>
          <w:szCs w:val="22"/>
        </w:rPr>
        <w:t>greater consiste</w:t>
      </w:r>
      <w:r w:rsidR="00F83D49">
        <w:rPr>
          <w:rFonts w:asciiTheme="minorHAnsi" w:hAnsiTheme="minorHAnsi"/>
          <w:sz w:val="22"/>
          <w:szCs w:val="22"/>
        </w:rPr>
        <w:t xml:space="preserve">ncy between the two documents. </w:t>
      </w:r>
      <w:r w:rsidR="00204A27" w:rsidRPr="002F1FCB">
        <w:rPr>
          <w:rFonts w:asciiTheme="minorHAnsi" w:hAnsiTheme="minorHAnsi"/>
          <w:color w:val="000000"/>
          <w:sz w:val="22"/>
          <w:szCs w:val="22"/>
        </w:rPr>
        <w:t xml:space="preserve">While </w:t>
      </w:r>
      <w:r w:rsidR="00204A27">
        <w:rPr>
          <w:rFonts w:asciiTheme="minorHAnsi" w:hAnsiTheme="minorHAnsi"/>
          <w:color w:val="000000"/>
          <w:sz w:val="22"/>
          <w:szCs w:val="22"/>
        </w:rPr>
        <w:t>use of the</w:t>
      </w:r>
      <w:r w:rsidR="00204A27" w:rsidRPr="002F1FCB">
        <w:rPr>
          <w:rFonts w:asciiTheme="minorHAnsi" w:hAnsiTheme="minorHAnsi"/>
          <w:color w:val="000000"/>
          <w:sz w:val="22"/>
          <w:szCs w:val="22"/>
        </w:rPr>
        <w:t xml:space="preserve"> term QAPP</w:t>
      </w:r>
      <w:r w:rsidR="00204A27">
        <w:rPr>
          <w:rFonts w:asciiTheme="minorHAnsi" w:hAnsiTheme="minorHAnsi"/>
          <w:color w:val="000000"/>
          <w:sz w:val="22"/>
          <w:szCs w:val="22"/>
        </w:rPr>
        <w:t xml:space="preserve"> has been retained</w:t>
      </w:r>
      <w:r w:rsidR="00204A27" w:rsidRPr="002F1FCB">
        <w:rPr>
          <w:rFonts w:asciiTheme="minorHAnsi" w:hAnsiTheme="minorHAnsi"/>
          <w:color w:val="000000"/>
          <w:sz w:val="22"/>
          <w:szCs w:val="22"/>
        </w:rPr>
        <w:t xml:space="preserve">, the information contained in the worksheets </w:t>
      </w:r>
      <w:r w:rsidR="00204A27">
        <w:rPr>
          <w:rFonts w:asciiTheme="minorHAnsi" w:hAnsiTheme="minorHAnsi"/>
          <w:color w:val="000000"/>
          <w:sz w:val="22"/>
          <w:szCs w:val="22"/>
        </w:rPr>
        <w:t xml:space="preserve">continues to </w:t>
      </w:r>
      <w:r w:rsidR="00204A27" w:rsidRPr="002F1FCB">
        <w:rPr>
          <w:rFonts w:asciiTheme="minorHAnsi" w:hAnsiTheme="minorHAnsi"/>
          <w:color w:val="000000"/>
          <w:sz w:val="22"/>
          <w:szCs w:val="22"/>
        </w:rPr>
        <w:t xml:space="preserve">capture the elements that would comprise related </w:t>
      </w:r>
      <w:r w:rsidR="00EF7729">
        <w:rPr>
          <w:rFonts w:asciiTheme="minorHAnsi" w:hAnsiTheme="minorHAnsi"/>
          <w:color w:val="000000"/>
          <w:sz w:val="22"/>
          <w:szCs w:val="22"/>
        </w:rPr>
        <w:t xml:space="preserve">project-planning </w:t>
      </w:r>
      <w:r w:rsidR="00204A27" w:rsidRPr="002F1FCB">
        <w:rPr>
          <w:rFonts w:asciiTheme="minorHAnsi" w:hAnsiTheme="minorHAnsi"/>
          <w:color w:val="000000"/>
          <w:sz w:val="22"/>
          <w:szCs w:val="22"/>
        </w:rPr>
        <w:t>documents</w:t>
      </w:r>
      <w:r w:rsidR="00204A27">
        <w:rPr>
          <w:rFonts w:asciiTheme="minorHAnsi" w:hAnsiTheme="minorHAnsi"/>
          <w:color w:val="000000"/>
          <w:sz w:val="22"/>
          <w:szCs w:val="22"/>
        </w:rPr>
        <w:t>,</w:t>
      </w:r>
      <w:r w:rsidR="00204A27" w:rsidRPr="002F1FCB">
        <w:rPr>
          <w:rFonts w:asciiTheme="minorHAnsi" w:hAnsiTheme="minorHAnsi"/>
          <w:color w:val="000000"/>
          <w:sz w:val="22"/>
          <w:szCs w:val="22"/>
        </w:rPr>
        <w:t xml:space="preserve"> such as a Sampling and Analysis Plan (SAP), Work Plan (WP), and Field Sampling Plan (FSP).</w:t>
      </w:r>
    </w:p>
    <w:p w:rsidR="00B408ED" w:rsidRDefault="00B408ED" w:rsidP="002F1FCB">
      <w:pPr>
        <w:pStyle w:val="CM113"/>
        <w:spacing w:after="255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B408ED" w:rsidRDefault="00B408ED" w:rsidP="002F1FCB">
      <w:pPr>
        <w:pStyle w:val="CM113"/>
        <w:spacing w:after="255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D91D36" w:rsidRDefault="00621F9F" w:rsidP="00621F9F">
      <w:pPr>
        <w:pStyle w:val="CM113"/>
        <w:spacing w:after="255" w:line="243" w:lineRule="atLeast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The </w:t>
      </w:r>
      <w:r w:rsidR="00D91D36">
        <w:rPr>
          <w:rFonts w:asciiTheme="minorHAnsi" w:hAnsiTheme="minorHAnsi"/>
          <w:color w:val="000000"/>
          <w:sz w:val="22"/>
          <w:szCs w:val="22"/>
        </w:rPr>
        <w:t xml:space="preserve">preparation of Revision 1 </w:t>
      </w:r>
      <w:r w:rsidR="00EF7729">
        <w:rPr>
          <w:rFonts w:asciiTheme="minorHAnsi" w:hAnsiTheme="minorHAnsi"/>
          <w:color w:val="000000"/>
          <w:sz w:val="22"/>
          <w:szCs w:val="22"/>
        </w:rPr>
        <w:t>involved</w:t>
      </w:r>
      <w:r>
        <w:rPr>
          <w:rFonts w:asciiTheme="minorHAnsi" w:hAnsiTheme="minorHAnsi"/>
          <w:color w:val="000000"/>
          <w:sz w:val="22"/>
          <w:szCs w:val="22"/>
        </w:rPr>
        <w:t xml:space="preserve"> the consolidation of several worksheets </w:t>
      </w:r>
      <w:r w:rsidR="000945EB">
        <w:rPr>
          <w:rFonts w:asciiTheme="minorHAnsi" w:hAnsiTheme="minorHAnsi"/>
          <w:color w:val="000000"/>
          <w:sz w:val="22"/>
          <w:szCs w:val="22"/>
        </w:rPr>
        <w:t>into a final product c</w:t>
      </w:r>
      <w:r>
        <w:rPr>
          <w:rFonts w:asciiTheme="minorHAnsi" w:hAnsiTheme="minorHAnsi"/>
          <w:color w:val="000000"/>
          <w:sz w:val="22"/>
          <w:szCs w:val="22"/>
        </w:rPr>
        <w:t xml:space="preserve">ontaining </w:t>
      </w:r>
      <w:r w:rsidR="00874195">
        <w:rPr>
          <w:rFonts w:asciiTheme="minorHAnsi" w:hAnsiTheme="minorHAnsi"/>
          <w:color w:val="000000"/>
          <w:sz w:val="22"/>
          <w:szCs w:val="22"/>
        </w:rPr>
        <w:t>27</w:t>
      </w:r>
      <w:r w:rsidR="00F83D49">
        <w:rPr>
          <w:rFonts w:asciiTheme="minorHAnsi" w:hAnsiTheme="minorHAnsi"/>
          <w:color w:val="000000"/>
          <w:sz w:val="22"/>
          <w:szCs w:val="22"/>
        </w:rPr>
        <w:t xml:space="preserve"> worksheets. </w:t>
      </w:r>
      <w:r w:rsidR="000945EB">
        <w:rPr>
          <w:rFonts w:asciiTheme="minorHAnsi" w:hAnsiTheme="minorHAnsi"/>
          <w:color w:val="000000"/>
          <w:sz w:val="22"/>
          <w:szCs w:val="22"/>
        </w:rPr>
        <w:t>For ease of reference, the revised worksheets are named to reflect the original work</w:t>
      </w:r>
      <w:r w:rsidR="00F83D49">
        <w:rPr>
          <w:rFonts w:asciiTheme="minorHAnsi" w:hAnsiTheme="minorHAnsi"/>
          <w:color w:val="000000"/>
          <w:sz w:val="22"/>
          <w:szCs w:val="22"/>
        </w:rPr>
        <w:t>sheets on which they are based.</w:t>
      </w:r>
      <w:r w:rsidR="000945EB">
        <w:rPr>
          <w:rFonts w:asciiTheme="minorHAnsi" w:hAnsiTheme="minorHAnsi"/>
          <w:color w:val="000000"/>
          <w:sz w:val="22"/>
          <w:szCs w:val="22"/>
        </w:rPr>
        <w:t xml:space="preserve"> Instructions for completing the worksheet</w:t>
      </w:r>
      <w:r w:rsidR="00F83D49">
        <w:rPr>
          <w:rFonts w:asciiTheme="minorHAnsi" w:hAnsiTheme="minorHAnsi"/>
          <w:color w:val="000000"/>
          <w:sz w:val="22"/>
          <w:szCs w:val="22"/>
        </w:rPr>
        <w:t xml:space="preserve">s are contained in green text. </w:t>
      </w:r>
      <w:r w:rsidR="000945EB">
        <w:rPr>
          <w:rFonts w:asciiTheme="minorHAnsi" w:hAnsiTheme="minorHAnsi"/>
          <w:color w:val="000000"/>
          <w:sz w:val="22"/>
          <w:szCs w:val="22"/>
        </w:rPr>
        <w:t>Examp</w:t>
      </w:r>
      <w:r w:rsidR="00F83D49">
        <w:rPr>
          <w:rFonts w:asciiTheme="minorHAnsi" w:hAnsiTheme="minorHAnsi"/>
          <w:color w:val="000000"/>
          <w:sz w:val="22"/>
          <w:szCs w:val="22"/>
        </w:rPr>
        <w:t xml:space="preserve">les are provided in blue text. </w:t>
      </w:r>
      <w:r w:rsidR="000945EB">
        <w:rPr>
          <w:rFonts w:asciiTheme="minorHAnsi" w:hAnsiTheme="minorHAnsi"/>
          <w:color w:val="000000"/>
          <w:sz w:val="22"/>
          <w:szCs w:val="22"/>
        </w:rPr>
        <w:t>Examples are for illustration purposes only</w:t>
      </w:r>
      <w:r w:rsidR="009B484D">
        <w:rPr>
          <w:rFonts w:asciiTheme="minorHAnsi" w:hAnsiTheme="minorHAnsi"/>
          <w:color w:val="000000"/>
          <w:sz w:val="22"/>
          <w:szCs w:val="22"/>
        </w:rPr>
        <w:t xml:space="preserve"> and should not be construed </w:t>
      </w:r>
      <w:r w:rsidR="00D91D36">
        <w:rPr>
          <w:rFonts w:asciiTheme="minorHAnsi" w:hAnsiTheme="minorHAnsi"/>
          <w:color w:val="000000"/>
          <w:sz w:val="22"/>
          <w:szCs w:val="22"/>
        </w:rPr>
        <w:t>to establish</w:t>
      </w:r>
      <w:r w:rsidR="009B484D">
        <w:rPr>
          <w:rFonts w:asciiTheme="minorHAnsi" w:hAnsiTheme="minorHAnsi"/>
          <w:color w:val="000000"/>
          <w:sz w:val="22"/>
          <w:szCs w:val="22"/>
        </w:rPr>
        <w:t xml:space="preserve"> acceptable standards for any purpose</w:t>
      </w:r>
      <w:r w:rsidR="00F83D49">
        <w:rPr>
          <w:rFonts w:asciiTheme="minorHAnsi" w:hAnsiTheme="minorHAnsi"/>
          <w:color w:val="000000"/>
          <w:sz w:val="22"/>
          <w:szCs w:val="22"/>
        </w:rPr>
        <w:t>.</w:t>
      </w:r>
    </w:p>
    <w:p w:rsidR="00621F9F" w:rsidRPr="009C5638" w:rsidRDefault="00621F9F" w:rsidP="00621F9F">
      <w:pPr>
        <w:pStyle w:val="CM113"/>
        <w:spacing w:after="255" w:line="243" w:lineRule="atLeast"/>
        <w:jc w:val="both"/>
        <w:rPr>
          <w:rFonts w:asciiTheme="minorHAnsi" w:hAnsiTheme="minorHAnsi"/>
          <w:color w:val="000000"/>
          <w:sz w:val="22"/>
          <w:szCs w:val="22"/>
        </w:rPr>
      </w:pPr>
      <w:r w:rsidRPr="009C5638">
        <w:rPr>
          <w:rFonts w:asciiTheme="minorHAnsi" w:hAnsiTheme="minorHAnsi"/>
          <w:color w:val="000000"/>
          <w:sz w:val="22"/>
          <w:szCs w:val="22"/>
        </w:rPr>
        <w:t xml:space="preserve">The </w:t>
      </w:r>
      <w:r>
        <w:rPr>
          <w:rFonts w:asciiTheme="minorHAnsi" w:hAnsiTheme="minorHAnsi"/>
          <w:color w:val="000000"/>
          <w:sz w:val="22"/>
          <w:szCs w:val="22"/>
        </w:rPr>
        <w:t>remaining</w:t>
      </w:r>
      <w:r w:rsidRPr="009C5638">
        <w:rPr>
          <w:rFonts w:asciiTheme="minorHAnsi" w:hAnsiTheme="minorHAnsi"/>
          <w:color w:val="000000"/>
          <w:sz w:val="22"/>
          <w:szCs w:val="22"/>
        </w:rPr>
        <w:t xml:space="preserve"> parts of the original UFP-QAPP manual have not been updated </w:t>
      </w:r>
      <w:r>
        <w:rPr>
          <w:rFonts w:asciiTheme="minorHAnsi" w:hAnsiTheme="minorHAnsi"/>
          <w:color w:val="000000"/>
          <w:sz w:val="22"/>
          <w:szCs w:val="22"/>
        </w:rPr>
        <w:t xml:space="preserve">but </w:t>
      </w:r>
      <w:r w:rsidR="00D91D36">
        <w:rPr>
          <w:rFonts w:asciiTheme="minorHAnsi" w:hAnsiTheme="minorHAnsi"/>
          <w:color w:val="000000"/>
          <w:sz w:val="22"/>
          <w:szCs w:val="22"/>
        </w:rPr>
        <w:t>may still be used</w:t>
      </w:r>
      <w:r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874195">
        <w:rPr>
          <w:rFonts w:asciiTheme="minorHAnsi" w:hAnsiTheme="minorHAnsi"/>
          <w:color w:val="000000"/>
          <w:sz w:val="22"/>
          <w:szCs w:val="22"/>
        </w:rPr>
        <w:t xml:space="preserve">as </w:t>
      </w:r>
      <w:r>
        <w:rPr>
          <w:rFonts w:asciiTheme="minorHAnsi" w:hAnsiTheme="minorHAnsi"/>
          <w:color w:val="000000"/>
          <w:sz w:val="22"/>
          <w:szCs w:val="22"/>
        </w:rPr>
        <w:t>aids to the development of QAPPs.</w:t>
      </w:r>
      <w:r w:rsidR="00F83D49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B82632">
        <w:rPr>
          <w:rFonts w:asciiTheme="minorHAnsi" w:hAnsiTheme="minorHAnsi"/>
          <w:color w:val="000000"/>
          <w:sz w:val="22"/>
          <w:szCs w:val="22"/>
        </w:rPr>
        <w:t>The IDQTF</w:t>
      </w:r>
      <w:r w:rsidR="00EF7729">
        <w:rPr>
          <w:rFonts w:asciiTheme="minorHAnsi" w:hAnsiTheme="minorHAnsi"/>
          <w:color w:val="000000"/>
          <w:sz w:val="22"/>
          <w:szCs w:val="22"/>
        </w:rPr>
        <w:t xml:space="preserve"> is in the process of preparing enhance</w:t>
      </w:r>
      <w:r w:rsidR="00753025">
        <w:rPr>
          <w:rFonts w:asciiTheme="minorHAnsi" w:hAnsiTheme="minorHAnsi"/>
          <w:color w:val="000000"/>
          <w:sz w:val="22"/>
          <w:szCs w:val="22"/>
        </w:rPr>
        <w:t>d</w:t>
      </w:r>
      <w:r w:rsidR="00EF7729">
        <w:rPr>
          <w:rFonts w:asciiTheme="minorHAnsi" w:hAnsiTheme="minorHAnsi"/>
          <w:color w:val="000000"/>
          <w:sz w:val="22"/>
          <w:szCs w:val="22"/>
        </w:rPr>
        <w:t xml:space="preserve"> instructions and supplemental </w:t>
      </w:r>
      <w:r w:rsidR="00B82632">
        <w:rPr>
          <w:rFonts w:asciiTheme="minorHAnsi" w:hAnsiTheme="minorHAnsi"/>
          <w:color w:val="000000"/>
          <w:sz w:val="22"/>
          <w:szCs w:val="22"/>
        </w:rPr>
        <w:t>guidance</w:t>
      </w:r>
      <w:r w:rsidR="00EF7729">
        <w:rPr>
          <w:rFonts w:asciiTheme="minorHAnsi" w:hAnsiTheme="minorHAnsi"/>
          <w:color w:val="000000"/>
          <w:sz w:val="22"/>
          <w:szCs w:val="22"/>
        </w:rPr>
        <w:t xml:space="preserve"> to aid in the </w:t>
      </w:r>
      <w:r w:rsidR="00753025">
        <w:rPr>
          <w:rFonts w:asciiTheme="minorHAnsi" w:hAnsiTheme="minorHAnsi"/>
          <w:color w:val="000000"/>
          <w:sz w:val="22"/>
          <w:szCs w:val="22"/>
        </w:rPr>
        <w:t>preparation of QAPPs.</w:t>
      </w:r>
    </w:p>
    <w:p w:rsidR="000D3E71" w:rsidRPr="009C5638" w:rsidRDefault="00AF1412" w:rsidP="000D3E71">
      <w:pPr>
        <w:pStyle w:val="CM113"/>
        <w:spacing w:after="255" w:line="243" w:lineRule="atLeast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b/>
          <w:bCs/>
          <w:color w:val="000000"/>
          <w:sz w:val="22"/>
          <w:szCs w:val="22"/>
        </w:rPr>
        <w:t>Scope and Applicability</w:t>
      </w:r>
    </w:p>
    <w:p w:rsidR="00D91D36" w:rsidRDefault="009B484D" w:rsidP="00B60C9E">
      <w:pPr>
        <w:pStyle w:val="Default"/>
        <w:spacing w:after="15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 xml:space="preserve">The UFP-QAPP Workbook, Revision 1 </w:t>
      </w:r>
      <w:r w:rsidR="00C6427D">
        <w:rPr>
          <w:rFonts w:asciiTheme="minorHAnsi" w:hAnsiTheme="minorHAnsi" w:cs="Times New Roman"/>
          <w:sz w:val="22"/>
          <w:szCs w:val="22"/>
        </w:rPr>
        <w:t>is a tool to guide project teams through the systematic planning process</w:t>
      </w:r>
      <w:r w:rsidR="00F83D49">
        <w:rPr>
          <w:rFonts w:asciiTheme="minorHAnsi" w:hAnsiTheme="minorHAnsi" w:cs="Times New Roman"/>
          <w:sz w:val="22"/>
          <w:szCs w:val="22"/>
        </w:rPr>
        <w:t xml:space="preserve">. </w:t>
      </w:r>
      <w:r w:rsidR="000D3E71" w:rsidRPr="009C5638">
        <w:rPr>
          <w:rFonts w:asciiTheme="minorHAnsi" w:hAnsiTheme="minorHAnsi" w:cs="Times New Roman"/>
          <w:sz w:val="22"/>
          <w:szCs w:val="22"/>
        </w:rPr>
        <w:t>Although designed for use in support of hazardous waste programs (CERCLA and RCRA) at Federal facilities, u</w:t>
      </w:r>
      <w:r w:rsidR="00AF1412">
        <w:rPr>
          <w:rFonts w:asciiTheme="minorHAnsi" w:hAnsiTheme="minorHAnsi" w:cs="Times New Roman"/>
          <w:sz w:val="22"/>
          <w:szCs w:val="22"/>
        </w:rPr>
        <w:t>se</w:t>
      </w:r>
      <w:r w:rsidR="000D3E71" w:rsidRPr="009C5638">
        <w:rPr>
          <w:rFonts w:asciiTheme="minorHAnsi" w:hAnsiTheme="minorHAnsi" w:cs="Times New Roman"/>
          <w:sz w:val="22"/>
          <w:szCs w:val="22"/>
        </w:rPr>
        <w:t xml:space="preserve"> of the UFP-QAPP is applicable to any environmental program for which data will be collected and analyzed</w:t>
      </w:r>
      <w:r w:rsidR="000945EB">
        <w:rPr>
          <w:rFonts w:asciiTheme="minorHAnsi" w:hAnsiTheme="minorHAnsi" w:cs="Times New Roman"/>
          <w:sz w:val="22"/>
          <w:szCs w:val="22"/>
        </w:rPr>
        <w:t xml:space="preserve">, and worksheets may be customized </w:t>
      </w:r>
      <w:r w:rsidR="00C03C6A">
        <w:rPr>
          <w:rFonts w:asciiTheme="minorHAnsi" w:hAnsiTheme="minorHAnsi" w:cs="Times New Roman"/>
          <w:sz w:val="22"/>
          <w:szCs w:val="22"/>
        </w:rPr>
        <w:t>accordingly</w:t>
      </w:r>
      <w:r w:rsidR="00DF3A1E">
        <w:rPr>
          <w:rFonts w:asciiTheme="minorHAnsi" w:hAnsiTheme="minorHAnsi" w:cs="Times New Roman"/>
          <w:sz w:val="22"/>
          <w:szCs w:val="22"/>
        </w:rPr>
        <w:t xml:space="preserve">. </w:t>
      </w:r>
      <w:r w:rsidR="00D91D36">
        <w:rPr>
          <w:rFonts w:asciiTheme="minorHAnsi" w:hAnsiTheme="minorHAnsi" w:cs="Times New Roman"/>
          <w:sz w:val="22"/>
          <w:szCs w:val="22"/>
        </w:rPr>
        <w:t xml:space="preserve">Examples of customized </w:t>
      </w:r>
      <w:r w:rsidR="00D91D36" w:rsidRPr="009C5638">
        <w:rPr>
          <w:rFonts w:asciiTheme="minorHAnsi" w:hAnsiTheme="minorHAnsi" w:cs="Times New Roman"/>
          <w:sz w:val="22"/>
          <w:szCs w:val="22"/>
        </w:rPr>
        <w:t xml:space="preserve">applications include </w:t>
      </w:r>
      <w:r w:rsidR="00D91D36">
        <w:rPr>
          <w:rFonts w:asciiTheme="minorHAnsi" w:hAnsiTheme="minorHAnsi" w:cs="Times New Roman"/>
          <w:sz w:val="22"/>
          <w:szCs w:val="22"/>
        </w:rPr>
        <w:t xml:space="preserve">the development of QAPPS for </w:t>
      </w:r>
      <w:r w:rsidR="00D91D36" w:rsidRPr="009C5638">
        <w:rPr>
          <w:rFonts w:asciiTheme="minorHAnsi" w:hAnsiTheme="minorHAnsi" w:cs="Times New Roman"/>
          <w:sz w:val="22"/>
          <w:szCs w:val="22"/>
        </w:rPr>
        <w:t>compliance testing</w:t>
      </w:r>
      <w:r w:rsidR="00C03C6A">
        <w:rPr>
          <w:rFonts w:asciiTheme="minorHAnsi" w:hAnsiTheme="minorHAnsi" w:cs="Times New Roman"/>
          <w:sz w:val="22"/>
          <w:szCs w:val="22"/>
        </w:rPr>
        <w:t xml:space="preserve"> conducted</w:t>
      </w:r>
      <w:r w:rsidR="00D91D36" w:rsidRPr="009C5638">
        <w:rPr>
          <w:rFonts w:asciiTheme="minorHAnsi" w:hAnsiTheme="minorHAnsi" w:cs="Times New Roman"/>
          <w:sz w:val="22"/>
          <w:szCs w:val="22"/>
        </w:rPr>
        <w:t xml:space="preserve"> </w:t>
      </w:r>
      <w:r w:rsidR="00C03C6A">
        <w:rPr>
          <w:rFonts w:asciiTheme="minorHAnsi" w:hAnsiTheme="minorHAnsi" w:cs="Times New Roman"/>
          <w:sz w:val="22"/>
          <w:szCs w:val="22"/>
        </w:rPr>
        <w:t xml:space="preserve">in accordance with </w:t>
      </w:r>
      <w:r w:rsidR="00D91D36" w:rsidRPr="009C5638">
        <w:rPr>
          <w:rFonts w:asciiTheme="minorHAnsi" w:hAnsiTheme="minorHAnsi" w:cs="Times New Roman"/>
          <w:sz w:val="22"/>
          <w:szCs w:val="22"/>
        </w:rPr>
        <w:t xml:space="preserve">the Clean Water Act (CWA) and </w:t>
      </w:r>
      <w:r w:rsidR="00C03C6A">
        <w:rPr>
          <w:rFonts w:asciiTheme="minorHAnsi" w:hAnsiTheme="minorHAnsi" w:cs="Times New Roman"/>
          <w:sz w:val="22"/>
          <w:szCs w:val="22"/>
        </w:rPr>
        <w:t xml:space="preserve">environmental investigations conducted in accordance with </w:t>
      </w:r>
      <w:r w:rsidR="00D91D36">
        <w:rPr>
          <w:rFonts w:asciiTheme="minorHAnsi" w:hAnsiTheme="minorHAnsi" w:cs="Times New Roman"/>
          <w:sz w:val="22"/>
          <w:szCs w:val="22"/>
        </w:rPr>
        <w:t>the Military Munitions Response Program (MMRP)</w:t>
      </w:r>
      <w:r w:rsidR="00D91D36" w:rsidRPr="009C5638">
        <w:rPr>
          <w:rFonts w:asciiTheme="minorHAnsi" w:hAnsiTheme="minorHAnsi" w:cs="Times New Roman"/>
          <w:sz w:val="22"/>
          <w:szCs w:val="22"/>
        </w:rPr>
        <w:t>.</w:t>
      </w:r>
      <w:r w:rsidR="00EF7729">
        <w:rPr>
          <w:rFonts w:asciiTheme="minorHAnsi" w:hAnsiTheme="minorHAnsi" w:cs="Times New Roman"/>
          <w:sz w:val="22"/>
          <w:szCs w:val="22"/>
        </w:rPr>
        <w:t xml:space="preserve"> </w:t>
      </w:r>
      <w:r w:rsidR="00B60C9E" w:rsidRPr="009C5638">
        <w:rPr>
          <w:rFonts w:asciiTheme="minorHAnsi" w:hAnsiTheme="minorHAnsi" w:cs="Times New Roman"/>
          <w:sz w:val="22"/>
          <w:szCs w:val="22"/>
        </w:rPr>
        <w:t xml:space="preserve">Project teams are encouraged to </w:t>
      </w:r>
      <w:r w:rsidR="00B60C9E">
        <w:rPr>
          <w:rFonts w:asciiTheme="minorHAnsi" w:hAnsiTheme="minorHAnsi" w:cs="Times New Roman"/>
          <w:sz w:val="22"/>
          <w:szCs w:val="22"/>
        </w:rPr>
        <w:t>use</w:t>
      </w:r>
      <w:r w:rsidR="00B60C9E" w:rsidRPr="009C5638">
        <w:rPr>
          <w:rFonts w:asciiTheme="minorHAnsi" w:hAnsiTheme="minorHAnsi" w:cs="Times New Roman"/>
          <w:sz w:val="22"/>
          <w:szCs w:val="22"/>
        </w:rPr>
        <w:t xml:space="preserve"> the </w:t>
      </w:r>
      <w:r w:rsidR="00B60C9E">
        <w:rPr>
          <w:rFonts w:asciiTheme="minorHAnsi" w:hAnsiTheme="minorHAnsi" w:cs="Times New Roman"/>
          <w:i/>
          <w:sz w:val="22"/>
          <w:szCs w:val="22"/>
        </w:rPr>
        <w:t>graded approach</w:t>
      </w:r>
      <w:r w:rsidR="00EF7729">
        <w:rPr>
          <w:rFonts w:asciiTheme="minorHAnsi" w:hAnsiTheme="minorHAnsi" w:cs="Times New Roman"/>
          <w:sz w:val="22"/>
          <w:szCs w:val="22"/>
        </w:rPr>
        <w:t xml:space="preserve"> when developing QAPPS, </w:t>
      </w:r>
      <w:r w:rsidR="00B60C9E">
        <w:rPr>
          <w:rFonts w:asciiTheme="minorHAnsi" w:hAnsiTheme="minorHAnsi" w:cs="Times New Roman"/>
          <w:sz w:val="22"/>
          <w:szCs w:val="22"/>
        </w:rPr>
        <w:t>giving a</w:t>
      </w:r>
      <w:r w:rsidR="00B60C9E" w:rsidRPr="009C5638">
        <w:rPr>
          <w:rFonts w:asciiTheme="minorHAnsi" w:hAnsiTheme="minorHAnsi" w:cs="Times New Roman"/>
          <w:sz w:val="22"/>
          <w:szCs w:val="22"/>
        </w:rPr>
        <w:t xml:space="preserve">ppropriate consideration to the significance of the environmental problems to be investigated, the </w:t>
      </w:r>
      <w:r w:rsidR="00C03C6A">
        <w:rPr>
          <w:rFonts w:asciiTheme="minorHAnsi" w:hAnsiTheme="minorHAnsi" w:cs="Times New Roman"/>
          <w:sz w:val="22"/>
          <w:szCs w:val="22"/>
        </w:rPr>
        <w:t xml:space="preserve">types of </w:t>
      </w:r>
      <w:r w:rsidR="00B60C9E" w:rsidRPr="009C5638">
        <w:rPr>
          <w:rFonts w:asciiTheme="minorHAnsi" w:hAnsiTheme="minorHAnsi" w:cs="Times New Roman"/>
          <w:sz w:val="22"/>
          <w:szCs w:val="22"/>
        </w:rPr>
        <w:t>environmental decisions to be made</w:t>
      </w:r>
      <w:r w:rsidR="00753025" w:rsidRPr="009C5638">
        <w:rPr>
          <w:rFonts w:asciiTheme="minorHAnsi" w:hAnsiTheme="minorHAnsi" w:cs="Times New Roman"/>
          <w:sz w:val="22"/>
          <w:szCs w:val="22"/>
        </w:rPr>
        <w:t>, the</w:t>
      </w:r>
      <w:r w:rsidR="00B60C9E" w:rsidRPr="009C5638">
        <w:rPr>
          <w:rFonts w:asciiTheme="minorHAnsi" w:hAnsiTheme="minorHAnsi" w:cs="Times New Roman"/>
          <w:sz w:val="22"/>
          <w:szCs w:val="22"/>
        </w:rPr>
        <w:t xml:space="preserve"> impact on human health and the environment</w:t>
      </w:r>
      <w:r w:rsidR="00B60C9E">
        <w:rPr>
          <w:rFonts w:asciiTheme="minorHAnsi" w:hAnsiTheme="minorHAnsi" w:cs="Times New Roman"/>
          <w:sz w:val="22"/>
          <w:szCs w:val="22"/>
        </w:rPr>
        <w:t>, and available resources.</w:t>
      </w:r>
    </w:p>
    <w:p w:rsidR="00B60C9E" w:rsidRDefault="00D91D36" w:rsidP="00D91D36">
      <w:pPr>
        <w:pStyle w:val="CM113"/>
        <w:spacing w:after="255" w:line="243" w:lineRule="atLeas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The optimized worksheets address all requirements of ANSI/ASQ E4-2004 and CIO 2106. Users are free to modify the worksheets as necessary to suit project-specific requirements; however all elements required by ANSI/ASQ E-4 and </w:t>
      </w:r>
      <w:r w:rsidR="00B60C9E">
        <w:rPr>
          <w:rFonts w:asciiTheme="minorHAnsi" w:hAnsiTheme="minorHAnsi"/>
          <w:color w:val="000000"/>
          <w:sz w:val="22"/>
          <w:szCs w:val="22"/>
        </w:rPr>
        <w:t>CIO 2106-G-05 must be addressed, or a</w:t>
      </w:r>
      <w:r w:rsidR="00EF7729">
        <w:rPr>
          <w:rFonts w:asciiTheme="minorHAnsi" w:hAnsiTheme="minorHAnsi"/>
          <w:color w:val="000000"/>
          <w:sz w:val="22"/>
          <w:szCs w:val="22"/>
        </w:rPr>
        <w:t xml:space="preserve"> satisfactory</w:t>
      </w:r>
      <w:r w:rsidR="00B60C9E">
        <w:rPr>
          <w:rFonts w:asciiTheme="minorHAnsi" w:hAnsiTheme="minorHAnsi"/>
          <w:color w:val="000000"/>
          <w:sz w:val="22"/>
          <w:szCs w:val="22"/>
        </w:rPr>
        <w:t xml:space="preserve"> explanation must be provided for their exclusion.</w:t>
      </w:r>
      <w:r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B60C9E">
        <w:rPr>
          <w:rFonts w:asciiTheme="minorHAnsi" w:hAnsiTheme="minorHAnsi"/>
          <w:sz w:val="22"/>
          <w:szCs w:val="22"/>
        </w:rPr>
        <w:t>Table 1 provides a</w:t>
      </w:r>
      <w:r w:rsidR="00B60C9E" w:rsidRPr="002F1FCB">
        <w:rPr>
          <w:rFonts w:asciiTheme="minorHAnsi" w:hAnsiTheme="minorHAnsi"/>
          <w:sz w:val="22"/>
          <w:szCs w:val="22"/>
        </w:rPr>
        <w:t xml:space="preserve"> crosswalk </w:t>
      </w:r>
      <w:r w:rsidR="00B60C9E">
        <w:rPr>
          <w:rFonts w:asciiTheme="minorHAnsi" w:hAnsiTheme="minorHAnsi"/>
          <w:sz w:val="22"/>
          <w:szCs w:val="22"/>
        </w:rPr>
        <w:t xml:space="preserve">between the </w:t>
      </w:r>
      <w:r w:rsidR="00B60C9E" w:rsidRPr="002F1FCB">
        <w:rPr>
          <w:rFonts w:asciiTheme="minorHAnsi" w:hAnsiTheme="minorHAnsi"/>
          <w:sz w:val="22"/>
          <w:szCs w:val="22"/>
        </w:rPr>
        <w:t>worksheet</w:t>
      </w:r>
      <w:r w:rsidR="00B60C9E">
        <w:rPr>
          <w:rFonts w:asciiTheme="minorHAnsi" w:hAnsiTheme="minorHAnsi"/>
          <w:sz w:val="22"/>
          <w:szCs w:val="22"/>
        </w:rPr>
        <w:t xml:space="preserve">s and </w:t>
      </w:r>
      <w:r w:rsidR="00B60C9E" w:rsidRPr="002F1FCB">
        <w:rPr>
          <w:rFonts w:asciiTheme="minorHAnsi" w:hAnsiTheme="minorHAnsi"/>
          <w:sz w:val="22"/>
          <w:szCs w:val="22"/>
        </w:rPr>
        <w:t>the respective elements of CIO 2106-G-05</w:t>
      </w:r>
      <w:r w:rsidR="00F83D49">
        <w:rPr>
          <w:rFonts w:asciiTheme="minorHAnsi" w:hAnsiTheme="minorHAnsi"/>
          <w:sz w:val="22"/>
          <w:szCs w:val="22"/>
        </w:rPr>
        <w:t>.</w:t>
      </w:r>
      <w:r w:rsidR="00B60C9E">
        <w:rPr>
          <w:rFonts w:asciiTheme="minorHAnsi" w:hAnsiTheme="minorHAnsi"/>
          <w:sz w:val="22"/>
          <w:szCs w:val="22"/>
        </w:rPr>
        <w:t xml:space="preserve"> </w:t>
      </w:r>
      <w:r w:rsidR="00B60C9E" w:rsidRPr="002F1FCB">
        <w:rPr>
          <w:rFonts w:asciiTheme="minorHAnsi" w:hAnsiTheme="minorHAnsi"/>
          <w:sz w:val="22"/>
          <w:szCs w:val="22"/>
        </w:rPr>
        <w:t xml:space="preserve">In addition, each revised worksheet </w:t>
      </w:r>
      <w:r w:rsidR="00B60C9E">
        <w:rPr>
          <w:rFonts w:asciiTheme="minorHAnsi" w:hAnsiTheme="minorHAnsi"/>
          <w:sz w:val="22"/>
          <w:szCs w:val="22"/>
        </w:rPr>
        <w:t xml:space="preserve">includes a reference to the appropriate </w:t>
      </w:r>
      <w:r w:rsidR="00B60C9E" w:rsidRPr="002F1FCB">
        <w:rPr>
          <w:rFonts w:asciiTheme="minorHAnsi" w:hAnsiTheme="minorHAnsi"/>
          <w:sz w:val="22"/>
          <w:szCs w:val="22"/>
        </w:rPr>
        <w:t xml:space="preserve">CIO 2106-G-05 </w:t>
      </w:r>
      <w:r w:rsidR="00B60C9E">
        <w:rPr>
          <w:rFonts w:asciiTheme="minorHAnsi" w:hAnsiTheme="minorHAnsi"/>
          <w:sz w:val="22"/>
          <w:szCs w:val="22"/>
        </w:rPr>
        <w:t>element</w:t>
      </w:r>
      <w:r w:rsidR="00B60C9E" w:rsidRPr="002F1FCB">
        <w:rPr>
          <w:rFonts w:asciiTheme="minorHAnsi" w:hAnsiTheme="minorHAnsi"/>
          <w:sz w:val="22"/>
          <w:szCs w:val="22"/>
        </w:rPr>
        <w:t>.</w:t>
      </w:r>
    </w:p>
    <w:p w:rsidR="00F83D49" w:rsidRDefault="00B60C9E" w:rsidP="00EF7729">
      <w:pPr>
        <w:pStyle w:val="CM113"/>
        <w:spacing w:after="255" w:line="243" w:lineRule="atLeast"/>
        <w:jc w:val="both"/>
        <w:rPr>
          <w:rFonts w:asciiTheme="minorHAnsi" w:hAnsiTheme="minorHAnsi"/>
          <w:sz w:val="22"/>
          <w:szCs w:val="22"/>
        </w:rPr>
      </w:pPr>
      <w:r w:rsidRPr="009C5638">
        <w:rPr>
          <w:rFonts w:asciiTheme="minorHAnsi" w:hAnsiTheme="minorHAnsi"/>
          <w:sz w:val="22"/>
          <w:szCs w:val="22"/>
        </w:rPr>
        <w:t xml:space="preserve">It is emphasized that the final, approved QAPP is designed to be a stand-alone document </w:t>
      </w:r>
      <w:r w:rsidR="00753025">
        <w:rPr>
          <w:rFonts w:asciiTheme="minorHAnsi" w:hAnsiTheme="minorHAnsi"/>
          <w:sz w:val="22"/>
          <w:szCs w:val="22"/>
        </w:rPr>
        <w:t>containing</w:t>
      </w:r>
      <w:r>
        <w:rPr>
          <w:rFonts w:asciiTheme="minorHAnsi" w:hAnsiTheme="minorHAnsi"/>
          <w:sz w:val="22"/>
          <w:szCs w:val="22"/>
        </w:rPr>
        <w:t xml:space="preserve"> all specifications and procedures necessary for</w:t>
      </w:r>
      <w:r w:rsidRPr="009C5638">
        <w:rPr>
          <w:rFonts w:asciiTheme="minorHAnsi" w:hAnsiTheme="minorHAnsi"/>
          <w:sz w:val="22"/>
          <w:szCs w:val="22"/>
        </w:rPr>
        <w:t xml:space="preserve"> project personnel to carry out their </w:t>
      </w:r>
      <w:r w:rsidR="00753025">
        <w:rPr>
          <w:rFonts w:asciiTheme="minorHAnsi" w:hAnsiTheme="minorHAnsi"/>
          <w:sz w:val="22"/>
          <w:szCs w:val="22"/>
        </w:rPr>
        <w:t xml:space="preserve">assigned </w:t>
      </w:r>
      <w:r w:rsidR="00F83D49">
        <w:rPr>
          <w:rFonts w:asciiTheme="minorHAnsi" w:hAnsiTheme="minorHAnsi"/>
          <w:sz w:val="22"/>
          <w:szCs w:val="22"/>
        </w:rPr>
        <w:t>responsibilities.</w:t>
      </w:r>
      <w:r w:rsidRPr="009C5638">
        <w:rPr>
          <w:rFonts w:asciiTheme="minorHAnsi" w:hAnsiTheme="minorHAnsi"/>
          <w:sz w:val="22"/>
          <w:szCs w:val="22"/>
        </w:rPr>
        <w:t xml:space="preserve"> For example, the field team should be able to </w:t>
      </w:r>
      <w:r>
        <w:rPr>
          <w:rFonts w:asciiTheme="minorHAnsi" w:hAnsiTheme="minorHAnsi"/>
          <w:sz w:val="22"/>
          <w:szCs w:val="22"/>
        </w:rPr>
        <w:t xml:space="preserve">rely on </w:t>
      </w:r>
      <w:r w:rsidRPr="009C5638">
        <w:rPr>
          <w:rFonts w:asciiTheme="minorHAnsi" w:hAnsiTheme="minorHAnsi"/>
          <w:sz w:val="22"/>
          <w:szCs w:val="22"/>
        </w:rPr>
        <w:t xml:space="preserve">the QAPP </w:t>
      </w:r>
      <w:r>
        <w:rPr>
          <w:rFonts w:asciiTheme="minorHAnsi" w:hAnsiTheme="minorHAnsi"/>
          <w:sz w:val="22"/>
          <w:szCs w:val="22"/>
        </w:rPr>
        <w:t xml:space="preserve">for complete sampling instructions, </w:t>
      </w:r>
      <w:r w:rsidRPr="009C5638">
        <w:rPr>
          <w:rFonts w:asciiTheme="minorHAnsi" w:hAnsiTheme="minorHAnsi"/>
          <w:sz w:val="22"/>
          <w:szCs w:val="22"/>
        </w:rPr>
        <w:t>including how to sample, where to sample, how many samples</w:t>
      </w:r>
      <w:r>
        <w:rPr>
          <w:rFonts w:asciiTheme="minorHAnsi" w:hAnsiTheme="minorHAnsi"/>
          <w:sz w:val="22"/>
          <w:szCs w:val="22"/>
        </w:rPr>
        <w:t xml:space="preserve"> to collect</w:t>
      </w:r>
      <w:r w:rsidRPr="009C5638">
        <w:rPr>
          <w:rFonts w:asciiTheme="minorHAnsi" w:hAnsiTheme="minorHAnsi"/>
          <w:sz w:val="22"/>
          <w:szCs w:val="22"/>
        </w:rPr>
        <w:t xml:space="preserve">, the types of bottles, </w:t>
      </w:r>
      <w:r w:rsidR="00F83D49">
        <w:rPr>
          <w:rFonts w:asciiTheme="minorHAnsi" w:hAnsiTheme="minorHAnsi"/>
          <w:sz w:val="22"/>
          <w:szCs w:val="22"/>
        </w:rPr>
        <w:t>preservatives, related QC, etc.</w:t>
      </w:r>
      <w:r w:rsidRPr="009C5638">
        <w:rPr>
          <w:rFonts w:asciiTheme="minorHAnsi" w:hAnsiTheme="minorHAnsi"/>
          <w:sz w:val="22"/>
          <w:szCs w:val="22"/>
        </w:rPr>
        <w:t xml:space="preserve"> If </w:t>
      </w:r>
      <w:r>
        <w:rPr>
          <w:rFonts w:asciiTheme="minorHAnsi" w:hAnsiTheme="minorHAnsi"/>
          <w:sz w:val="22"/>
          <w:szCs w:val="22"/>
        </w:rPr>
        <w:t xml:space="preserve">the </w:t>
      </w:r>
      <w:r w:rsidRPr="009C5638">
        <w:rPr>
          <w:rFonts w:asciiTheme="minorHAnsi" w:hAnsiTheme="minorHAnsi"/>
          <w:sz w:val="22"/>
          <w:szCs w:val="22"/>
        </w:rPr>
        <w:t>approved QAPP</w:t>
      </w:r>
      <w:r>
        <w:rPr>
          <w:rFonts w:asciiTheme="minorHAnsi" w:hAnsiTheme="minorHAnsi"/>
          <w:sz w:val="22"/>
          <w:szCs w:val="22"/>
        </w:rPr>
        <w:t xml:space="preserve"> provides insufficient procedures to carry out all tasks</w:t>
      </w:r>
      <w:r w:rsidRPr="009C5638">
        <w:rPr>
          <w:rFonts w:asciiTheme="minorHAnsi" w:hAnsiTheme="minorHAnsi"/>
          <w:sz w:val="22"/>
          <w:szCs w:val="22"/>
        </w:rPr>
        <w:t xml:space="preserve">, then SOP’s must be attached to the QAPP. </w:t>
      </w:r>
      <w:r w:rsidR="00EF7729">
        <w:rPr>
          <w:rFonts w:asciiTheme="minorHAnsi" w:hAnsiTheme="minorHAnsi"/>
          <w:sz w:val="22"/>
          <w:szCs w:val="22"/>
        </w:rPr>
        <w:t>If required elements are contained</w:t>
      </w:r>
      <w:r w:rsidR="000D3E71" w:rsidRPr="009C5638">
        <w:rPr>
          <w:rFonts w:asciiTheme="minorHAnsi" w:hAnsiTheme="minorHAnsi"/>
          <w:sz w:val="22"/>
          <w:szCs w:val="22"/>
        </w:rPr>
        <w:t xml:space="preserve"> in other </w:t>
      </w:r>
      <w:r w:rsidR="000D3E71" w:rsidRPr="00874195">
        <w:rPr>
          <w:rFonts w:asciiTheme="minorHAnsi" w:hAnsiTheme="minorHAnsi"/>
          <w:sz w:val="22"/>
          <w:szCs w:val="22"/>
        </w:rPr>
        <w:t>documents, th</w:t>
      </w:r>
      <w:r w:rsidR="00EF7729" w:rsidRPr="00874195">
        <w:rPr>
          <w:rFonts w:asciiTheme="minorHAnsi" w:hAnsiTheme="minorHAnsi"/>
          <w:sz w:val="22"/>
          <w:szCs w:val="22"/>
        </w:rPr>
        <w:t>ose documents may be referenced; however the documents must be available to all personnel responsible for reviewing and implementing the QAPP.</w:t>
      </w:r>
    </w:p>
    <w:p w:rsidR="00F83D49" w:rsidRDefault="00F83D49" w:rsidP="00F83D49">
      <w:pPr>
        <w:pStyle w:val="Default"/>
      </w:pPr>
      <w:r>
        <w:br w:type="page"/>
      </w:r>
    </w:p>
    <w:p w:rsidR="00874195" w:rsidRDefault="00F83D49" w:rsidP="00874195">
      <w:pPr>
        <w:pStyle w:val="Heading2"/>
        <w:rPr>
          <w:szCs w:val="18"/>
        </w:rPr>
      </w:pPr>
      <w:bookmarkStart w:id="1" w:name="_Toc306189672"/>
      <w:r>
        <w:lastRenderedPageBreak/>
        <w:t xml:space="preserve">Table1. </w:t>
      </w:r>
      <w:r w:rsidR="00874195" w:rsidRPr="00473FA8">
        <w:t>Crosswalk</w:t>
      </w:r>
      <w:r w:rsidR="00874195">
        <w:t>: UFP-QAPP Workbook</w:t>
      </w:r>
      <w:bookmarkEnd w:id="1"/>
      <w:r w:rsidR="00874195">
        <w:t xml:space="preserve"> to 2106-g-05 qapp</w:t>
      </w:r>
    </w:p>
    <w:tbl>
      <w:tblPr>
        <w:tblW w:w="976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948"/>
        <w:gridCol w:w="3926"/>
        <w:gridCol w:w="897"/>
        <w:gridCol w:w="3989"/>
      </w:tblGrid>
      <w:tr w:rsidR="00874195" w:rsidRPr="00192640" w:rsidTr="00462DE8">
        <w:trPr>
          <w:cantSplit/>
          <w:trHeight w:val="315"/>
          <w:tblHeader/>
        </w:trPr>
        <w:tc>
          <w:tcPr>
            <w:tcW w:w="4874" w:type="dxa"/>
            <w:gridSpan w:val="2"/>
            <w:shd w:val="clear" w:color="auto" w:fill="auto"/>
            <w:vAlign w:val="center"/>
            <w:hideMark/>
          </w:tcPr>
          <w:p w:rsidR="00874195" w:rsidRPr="00192640" w:rsidRDefault="00874195" w:rsidP="00462DE8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Optimized </w:t>
            </w:r>
            <w:r w:rsidRPr="00192640">
              <w:rPr>
                <w:b/>
                <w:color w:val="000000"/>
                <w:sz w:val="20"/>
                <w:szCs w:val="20"/>
              </w:rPr>
              <w:t>UFP-QAPP Worksheet</w:t>
            </w:r>
            <w:r>
              <w:rPr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4886" w:type="dxa"/>
            <w:gridSpan w:val="2"/>
            <w:shd w:val="clear" w:color="auto" w:fill="auto"/>
            <w:vAlign w:val="center"/>
            <w:hideMark/>
          </w:tcPr>
          <w:p w:rsidR="00874195" w:rsidRPr="00192640" w:rsidRDefault="00874195" w:rsidP="00462DE8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2106-G-05 </w:t>
            </w:r>
            <w:r w:rsidRPr="00192640">
              <w:rPr>
                <w:b/>
                <w:color w:val="000000"/>
                <w:sz w:val="20"/>
                <w:szCs w:val="20"/>
              </w:rPr>
              <w:t>QAPP Guidance Section</w:t>
            </w:r>
          </w:p>
        </w:tc>
      </w:tr>
      <w:tr w:rsidR="00874195" w:rsidRPr="00192640" w:rsidTr="00462DE8">
        <w:trPr>
          <w:trHeight w:val="249"/>
        </w:trPr>
        <w:tc>
          <w:tcPr>
            <w:tcW w:w="948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 xml:space="preserve">1 </w:t>
            </w:r>
            <w:r>
              <w:rPr>
                <w:color w:val="000000"/>
                <w:sz w:val="20"/>
                <w:szCs w:val="20"/>
              </w:rPr>
              <w:t xml:space="preserve">&amp; </w:t>
            </w:r>
            <w:r w:rsidRPr="0019264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926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Title and Approval Page</w:t>
            </w:r>
          </w:p>
        </w:tc>
        <w:tc>
          <w:tcPr>
            <w:tcW w:w="897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Title, Version, and Approval/Sign-Off</w:t>
            </w:r>
          </w:p>
        </w:tc>
      </w:tr>
      <w:tr w:rsidR="00874195" w:rsidRPr="00192640" w:rsidTr="00462DE8">
        <w:trPr>
          <w:trHeight w:val="204"/>
        </w:trPr>
        <w:tc>
          <w:tcPr>
            <w:tcW w:w="948" w:type="dxa"/>
            <w:vMerge w:val="restart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&amp; </w:t>
            </w:r>
            <w:r w:rsidRPr="0019264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926" w:type="dxa"/>
            <w:vMerge w:val="restart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Project Organization and QAPP Distribution</w:t>
            </w:r>
          </w:p>
        </w:tc>
        <w:tc>
          <w:tcPr>
            <w:tcW w:w="897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2.2.3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Distribution List</w:t>
            </w:r>
          </w:p>
        </w:tc>
      </w:tr>
      <w:tr w:rsidR="00874195" w:rsidRPr="00192640" w:rsidTr="00462DE8">
        <w:trPr>
          <w:trHeight w:val="213"/>
        </w:trPr>
        <w:tc>
          <w:tcPr>
            <w:tcW w:w="948" w:type="dxa"/>
            <w:vMerge/>
            <w:vAlign w:val="center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926" w:type="dxa"/>
            <w:vMerge/>
            <w:vAlign w:val="center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2.2.4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Project Organization and Schedule</w:t>
            </w:r>
          </w:p>
        </w:tc>
      </w:tr>
      <w:tr w:rsidR="00874195" w:rsidRPr="00192640" w:rsidTr="00462DE8">
        <w:trPr>
          <w:trHeight w:val="267"/>
        </w:trPr>
        <w:tc>
          <w:tcPr>
            <w:tcW w:w="948" w:type="dxa"/>
            <w:vMerge w:val="restart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4 ,</w:t>
            </w:r>
            <w:r w:rsidRPr="00192640">
              <w:rPr>
                <w:color w:val="000000"/>
                <w:sz w:val="20"/>
                <w:szCs w:val="20"/>
              </w:rPr>
              <w:t xml:space="preserve"> 7 </w:t>
            </w:r>
            <w:r>
              <w:rPr>
                <w:color w:val="000000"/>
                <w:sz w:val="20"/>
                <w:szCs w:val="20"/>
              </w:rPr>
              <w:t>&amp;</w:t>
            </w:r>
            <w:r w:rsidRPr="00192640">
              <w:rPr>
                <w:color w:val="000000"/>
                <w:sz w:val="20"/>
                <w:szCs w:val="20"/>
              </w:rPr>
              <w:t xml:space="preserve"> 8</w:t>
            </w:r>
          </w:p>
        </w:tc>
        <w:tc>
          <w:tcPr>
            <w:tcW w:w="3926" w:type="dxa"/>
            <w:vMerge w:val="restart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Personnel</w:t>
            </w:r>
            <w:r w:rsidRPr="00192640">
              <w:rPr>
                <w:color w:val="000000"/>
                <w:sz w:val="20"/>
                <w:szCs w:val="20"/>
              </w:rPr>
              <w:t xml:space="preserve"> Qualifications and Sign-off Sheet</w:t>
            </w:r>
          </w:p>
        </w:tc>
        <w:tc>
          <w:tcPr>
            <w:tcW w:w="897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Title, Version, and Approval/Sign-Off</w:t>
            </w:r>
          </w:p>
        </w:tc>
      </w:tr>
      <w:tr w:rsidR="00874195" w:rsidRPr="00192640" w:rsidTr="00462DE8">
        <w:trPr>
          <w:trHeight w:val="474"/>
        </w:trPr>
        <w:tc>
          <w:tcPr>
            <w:tcW w:w="948" w:type="dxa"/>
            <w:vMerge/>
            <w:vAlign w:val="center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926" w:type="dxa"/>
            <w:vMerge/>
            <w:vAlign w:val="center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2.2.7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Special Training Requirements and Certification</w:t>
            </w:r>
          </w:p>
        </w:tc>
      </w:tr>
      <w:tr w:rsidR="00874195" w:rsidRPr="00192640" w:rsidTr="00462DE8">
        <w:trPr>
          <w:trHeight w:val="285"/>
        </w:trPr>
        <w:tc>
          <w:tcPr>
            <w:tcW w:w="948" w:type="dxa"/>
            <w:shd w:val="clear" w:color="auto" w:fill="auto"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926" w:type="dxa"/>
            <w:shd w:val="clear" w:color="auto" w:fill="auto"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Communication Pathways</w:t>
            </w:r>
          </w:p>
        </w:tc>
        <w:tc>
          <w:tcPr>
            <w:tcW w:w="897" w:type="dxa"/>
            <w:shd w:val="clear" w:color="auto" w:fill="auto"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2.2.4</w:t>
            </w:r>
          </w:p>
        </w:tc>
        <w:tc>
          <w:tcPr>
            <w:tcW w:w="3989" w:type="dxa"/>
            <w:shd w:val="clear" w:color="auto" w:fill="auto"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Project Organization and Schedule</w:t>
            </w:r>
          </w:p>
        </w:tc>
      </w:tr>
      <w:tr w:rsidR="00874195" w:rsidRPr="00192640" w:rsidTr="00462DE8">
        <w:trPr>
          <w:trHeight w:val="474"/>
        </w:trPr>
        <w:tc>
          <w:tcPr>
            <w:tcW w:w="948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926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Project Planning Session Summary</w:t>
            </w:r>
          </w:p>
        </w:tc>
        <w:tc>
          <w:tcPr>
            <w:tcW w:w="897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2.2.5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Project Background, Overview, and Intended Use of Data</w:t>
            </w:r>
          </w:p>
        </w:tc>
      </w:tr>
      <w:tr w:rsidR="00874195" w:rsidRPr="00192640" w:rsidTr="00462DE8">
        <w:trPr>
          <w:trHeight w:val="474"/>
        </w:trPr>
        <w:tc>
          <w:tcPr>
            <w:tcW w:w="948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926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Conceptual Site Model</w:t>
            </w:r>
          </w:p>
        </w:tc>
        <w:tc>
          <w:tcPr>
            <w:tcW w:w="897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2.2.5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Project Background, Overview, and Intended Use of Data</w:t>
            </w:r>
          </w:p>
        </w:tc>
      </w:tr>
      <w:tr w:rsidR="00874195" w:rsidRPr="00192640" w:rsidTr="00462DE8">
        <w:trPr>
          <w:trHeight w:val="465"/>
        </w:trPr>
        <w:tc>
          <w:tcPr>
            <w:tcW w:w="948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926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Project</w:t>
            </w:r>
            <w:r>
              <w:rPr>
                <w:color w:val="000000"/>
                <w:sz w:val="20"/>
                <w:szCs w:val="20"/>
              </w:rPr>
              <w:t>/Data</w:t>
            </w:r>
            <w:r w:rsidRPr="00192640">
              <w:rPr>
                <w:color w:val="000000"/>
                <w:sz w:val="20"/>
                <w:szCs w:val="20"/>
              </w:rPr>
              <w:t xml:space="preserve"> Quality Objectives</w:t>
            </w:r>
          </w:p>
        </w:tc>
        <w:tc>
          <w:tcPr>
            <w:tcW w:w="897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2.2.6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Data/Project Quality Objectives and Measurement Performance Criteria</w:t>
            </w:r>
          </w:p>
        </w:tc>
      </w:tr>
      <w:tr w:rsidR="00874195" w:rsidRPr="00192640" w:rsidTr="00462DE8">
        <w:trPr>
          <w:trHeight w:val="483"/>
        </w:trPr>
        <w:tc>
          <w:tcPr>
            <w:tcW w:w="948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926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Measurement Performance Criteria</w:t>
            </w:r>
          </w:p>
        </w:tc>
        <w:tc>
          <w:tcPr>
            <w:tcW w:w="897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2.2.6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Data/Project Quality Objectives and Measurement Performance Criteria</w:t>
            </w:r>
          </w:p>
        </w:tc>
      </w:tr>
      <w:tr w:rsidR="00874195" w:rsidRPr="00192640" w:rsidTr="00462DE8">
        <w:trPr>
          <w:trHeight w:val="525"/>
        </w:trPr>
        <w:tc>
          <w:tcPr>
            <w:tcW w:w="948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926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Secondary Data Uses and Limitations</w:t>
            </w:r>
          </w:p>
        </w:tc>
        <w:tc>
          <w:tcPr>
            <w:tcW w:w="897" w:type="dxa"/>
            <w:shd w:val="clear" w:color="auto" w:fill="auto"/>
            <w:hideMark/>
          </w:tcPr>
          <w:p w:rsidR="00874195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Chapter</w:t>
            </w:r>
          </w:p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QAPP ELEMENTS FOR EVALUATING EXISTING DATA</w:t>
            </w:r>
          </w:p>
        </w:tc>
      </w:tr>
      <w:tr w:rsidR="00874195" w:rsidRPr="00192640" w:rsidTr="00462DE8">
        <w:trPr>
          <w:trHeight w:val="240"/>
        </w:trPr>
        <w:tc>
          <w:tcPr>
            <w:tcW w:w="948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  <w:r w:rsidRPr="0019264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&amp; </w:t>
            </w:r>
            <w:r w:rsidRPr="00192640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926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Project Tasks &amp; Schedule</w:t>
            </w:r>
          </w:p>
        </w:tc>
        <w:tc>
          <w:tcPr>
            <w:tcW w:w="897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2.2.4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Project Organization and Schedule</w:t>
            </w:r>
          </w:p>
        </w:tc>
      </w:tr>
      <w:tr w:rsidR="00874195" w:rsidRPr="00192640" w:rsidTr="00462DE8">
        <w:trPr>
          <w:trHeight w:val="438"/>
        </w:trPr>
        <w:tc>
          <w:tcPr>
            <w:tcW w:w="948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926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Proje</w:t>
            </w:r>
            <w:r>
              <w:rPr>
                <w:color w:val="000000"/>
                <w:sz w:val="20"/>
                <w:szCs w:val="20"/>
              </w:rPr>
              <w:t>ct Action Limits and Laboratory-S</w:t>
            </w:r>
            <w:r w:rsidRPr="00192640">
              <w:rPr>
                <w:color w:val="000000"/>
                <w:sz w:val="20"/>
                <w:szCs w:val="20"/>
              </w:rPr>
              <w:t>pecific Detection / Quantitation Limits</w:t>
            </w:r>
          </w:p>
        </w:tc>
        <w:tc>
          <w:tcPr>
            <w:tcW w:w="897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2.2.6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Data/Project Quality Objectives and Measurement Performance Criteria</w:t>
            </w:r>
          </w:p>
        </w:tc>
      </w:tr>
      <w:tr w:rsidR="00874195" w:rsidRPr="00192640" w:rsidTr="00462DE8">
        <w:trPr>
          <w:trHeight w:val="447"/>
        </w:trPr>
        <w:tc>
          <w:tcPr>
            <w:tcW w:w="948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926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Sampling Design and Rationale</w:t>
            </w:r>
          </w:p>
        </w:tc>
        <w:tc>
          <w:tcPr>
            <w:tcW w:w="897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2.3.1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Sample Collection Procedure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92640">
              <w:rPr>
                <w:color w:val="000000"/>
                <w:sz w:val="20"/>
                <w:szCs w:val="20"/>
              </w:rPr>
              <w:t xml:space="preserve"> Experimental Design</w:t>
            </w:r>
            <w:r>
              <w:rPr>
                <w:color w:val="000000"/>
                <w:sz w:val="20"/>
                <w:szCs w:val="20"/>
              </w:rPr>
              <w:t>, and Sampling Tasks</w:t>
            </w:r>
          </w:p>
        </w:tc>
      </w:tr>
      <w:tr w:rsidR="00874195" w:rsidRPr="00192640" w:rsidTr="00462DE8">
        <w:trPr>
          <w:trHeight w:val="465"/>
        </w:trPr>
        <w:tc>
          <w:tcPr>
            <w:tcW w:w="948" w:type="dxa"/>
            <w:vMerge w:val="restart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19264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926" w:type="dxa"/>
            <w:vMerge w:val="restart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Sampling Locations and Methods</w:t>
            </w:r>
          </w:p>
        </w:tc>
        <w:tc>
          <w:tcPr>
            <w:tcW w:w="897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 xml:space="preserve">2.3.1 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 xml:space="preserve">Sample Collection Procedure 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92640">
              <w:rPr>
                <w:color w:val="000000"/>
                <w:sz w:val="20"/>
                <w:szCs w:val="20"/>
              </w:rPr>
              <w:t xml:space="preserve"> Experimental Design</w:t>
            </w:r>
            <w:r>
              <w:rPr>
                <w:color w:val="000000"/>
                <w:sz w:val="20"/>
                <w:szCs w:val="20"/>
              </w:rPr>
              <w:t>, and Sampling Tasks</w:t>
            </w:r>
          </w:p>
        </w:tc>
      </w:tr>
      <w:tr w:rsidR="00874195" w:rsidRPr="00192640" w:rsidTr="00462DE8">
        <w:trPr>
          <w:trHeight w:val="204"/>
        </w:trPr>
        <w:tc>
          <w:tcPr>
            <w:tcW w:w="948" w:type="dxa"/>
            <w:vMerge/>
            <w:vAlign w:val="center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926" w:type="dxa"/>
            <w:vMerge/>
            <w:vAlign w:val="center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2.3.2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Sampling Procedures and Requirements</w:t>
            </w:r>
          </w:p>
        </w:tc>
      </w:tr>
      <w:tr w:rsidR="00874195" w:rsidRPr="00192640" w:rsidTr="00462DE8">
        <w:trPr>
          <w:cantSplit/>
          <w:trHeight w:val="258"/>
        </w:trPr>
        <w:tc>
          <w:tcPr>
            <w:tcW w:w="948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 xml:space="preserve">19 </w:t>
            </w:r>
            <w:r>
              <w:rPr>
                <w:color w:val="000000"/>
                <w:sz w:val="20"/>
                <w:szCs w:val="20"/>
              </w:rPr>
              <w:t xml:space="preserve">&amp; </w:t>
            </w:r>
            <w:r w:rsidRPr="00192640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926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Sample Containers, Preservation, and Hold Times</w:t>
            </w:r>
          </w:p>
        </w:tc>
        <w:tc>
          <w:tcPr>
            <w:tcW w:w="897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2.3.2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Sampling Procedures and Requirements</w:t>
            </w:r>
          </w:p>
        </w:tc>
      </w:tr>
      <w:tr w:rsidR="00874195" w:rsidRPr="00192640" w:rsidTr="00462DE8">
        <w:trPr>
          <w:cantSplit/>
          <w:trHeight w:val="267"/>
        </w:trPr>
        <w:tc>
          <w:tcPr>
            <w:tcW w:w="948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926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BB7A8D">
              <w:rPr>
                <w:color w:val="000000"/>
                <w:sz w:val="20"/>
                <w:szCs w:val="20"/>
              </w:rPr>
              <w:t xml:space="preserve">Field QC </w:t>
            </w:r>
          </w:p>
        </w:tc>
        <w:tc>
          <w:tcPr>
            <w:tcW w:w="897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2.3.5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Quality Control Requirements</w:t>
            </w:r>
          </w:p>
        </w:tc>
      </w:tr>
      <w:tr w:rsidR="00874195" w:rsidRPr="00192640" w:rsidTr="00462DE8">
        <w:trPr>
          <w:cantSplit/>
          <w:trHeight w:val="114"/>
        </w:trPr>
        <w:tc>
          <w:tcPr>
            <w:tcW w:w="948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926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Field SOPs</w:t>
            </w:r>
          </w:p>
        </w:tc>
        <w:tc>
          <w:tcPr>
            <w:tcW w:w="897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2.3.2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Sampling Procedures and Requirements</w:t>
            </w:r>
          </w:p>
        </w:tc>
      </w:tr>
      <w:tr w:rsidR="00874195" w:rsidRPr="00192640" w:rsidTr="00462DE8">
        <w:trPr>
          <w:cantSplit/>
          <w:trHeight w:val="636"/>
        </w:trPr>
        <w:tc>
          <w:tcPr>
            <w:tcW w:w="948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926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Field Equipment Calibration, Maintenan</w:t>
            </w:r>
            <w:r>
              <w:rPr>
                <w:color w:val="000000"/>
                <w:sz w:val="20"/>
                <w:szCs w:val="20"/>
              </w:rPr>
              <w:t>ce, Testing, and Inspection</w:t>
            </w:r>
          </w:p>
        </w:tc>
        <w:tc>
          <w:tcPr>
            <w:tcW w:w="897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2.3.6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 xml:space="preserve">Instrument/Equipment </w:t>
            </w:r>
            <w:r>
              <w:rPr>
                <w:color w:val="000000"/>
                <w:sz w:val="20"/>
                <w:szCs w:val="20"/>
              </w:rPr>
              <w:t xml:space="preserve">Testing, </w:t>
            </w:r>
            <w:r w:rsidRPr="00192640">
              <w:rPr>
                <w:color w:val="000000"/>
                <w:sz w:val="20"/>
                <w:szCs w:val="20"/>
              </w:rPr>
              <w:t>Calibration and Maintenance Requirements</w:t>
            </w:r>
            <w:r>
              <w:rPr>
                <w:color w:val="000000"/>
                <w:sz w:val="20"/>
                <w:szCs w:val="20"/>
              </w:rPr>
              <w:t>, Supplies and Consumables</w:t>
            </w:r>
          </w:p>
        </w:tc>
      </w:tr>
      <w:tr w:rsidR="00874195" w:rsidRPr="00192640" w:rsidTr="00462DE8">
        <w:trPr>
          <w:cantSplit/>
          <w:trHeight w:val="501"/>
        </w:trPr>
        <w:tc>
          <w:tcPr>
            <w:tcW w:w="948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3926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BB7A8D">
              <w:rPr>
                <w:color w:val="000000"/>
                <w:sz w:val="20"/>
                <w:szCs w:val="20"/>
              </w:rPr>
              <w:t>Analytical SOPs</w:t>
            </w:r>
          </w:p>
        </w:tc>
        <w:tc>
          <w:tcPr>
            <w:tcW w:w="897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2.3.4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 xml:space="preserve">Analytical </w:t>
            </w:r>
            <w:r>
              <w:rPr>
                <w:color w:val="000000"/>
                <w:sz w:val="20"/>
                <w:szCs w:val="20"/>
              </w:rPr>
              <w:t xml:space="preserve">Methods </w:t>
            </w:r>
            <w:r w:rsidRPr="00192640">
              <w:rPr>
                <w:color w:val="000000"/>
                <w:sz w:val="20"/>
                <w:szCs w:val="20"/>
              </w:rPr>
              <w:t>Requirements</w:t>
            </w:r>
            <w:r>
              <w:rPr>
                <w:color w:val="000000"/>
                <w:sz w:val="20"/>
                <w:szCs w:val="20"/>
              </w:rPr>
              <w:t xml:space="preserve"> and Task Description</w:t>
            </w:r>
          </w:p>
        </w:tc>
      </w:tr>
      <w:tr w:rsidR="00874195" w:rsidRPr="00192640" w:rsidTr="00462DE8">
        <w:trPr>
          <w:cantSplit/>
          <w:trHeight w:val="525"/>
        </w:trPr>
        <w:tc>
          <w:tcPr>
            <w:tcW w:w="948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926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Analyt</w:t>
            </w:r>
            <w:r>
              <w:rPr>
                <w:color w:val="000000"/>
                <w:sz w:val="20"/>
                <w:szCs w:val="20"/>
              </w:rPr>
              <w:t>ical Instrument Calibration</w:t>
            </w:r>
          </w:p>
        </w:tc>
        <w:tc>
          <w:tcPr>
            <w:tcW w:w="897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2.3.6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 xml:space="preserve">Instrument/Equipment </w:t>
            </w:r>
            <w:r>
              <w:rPr>
                <w:color w:val="000000"/>
                <w:sz w:val="20"/>
                <w:szCs w:val="20"/>
              </w:rPr>
              <w:t xml:space="preserve">Testing, </w:t>
            </w:r>
            <w:r w:rsidRPr="00192640">
              <w:rPr>
                <w:color w:val="000000"/>
                <w:sz w:val="20"/>
                <w:szCs w:val="20"/>
              </w:rPr>
              <w:t>Calibration and Maintenance Requirements</w:t>
            </w:r>
            <w:r>
              <w:rPr>
                <w:color w:val="000000"/>
                <w:sz w:val="20"/>
                <w:szCs w:val="20"/>
              </w:rPr>
              <w:t>, Supplies and Consumables</w:t>
            </w:r>
          </w:p>
        </w:tc>
      </w:tr>
      <w:tr w:rsidR="00874195" w:rsidRPr="00192640" w:rsidTr="00462DE8">
        <w:trPr>
          <w:cantSplit/>
          <w:trHeight w:val="525"/>
        </w:trPr>
        <w:tc>
          <w:tcPr>
            <w:tcW w:w="948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3926" w:type="dxa"/>
            <w:shd w:val="clear" w:color="auto" w:fill="auto"/>
            <w:hideMark/>
          </w:tcPr>
          <w:p w:rsidR="00874195" w:rsidRPr="0029266E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  <w:highlight w:val="cyan"/>
              </w:rPr>
            </w:pPr>
            <w:r w:rsidRPr="00BB7A8D">
              <w:rPr>
                <w:color w:val="000000"/>
                <w:sz w:val="20"/>
                <w:szCs w:val="20"/>
              </w:rPr>
              <w:t>Analytical Instrument and Equipment Maintenance, Testing, and Inspection</w:t>
            </w:r>
          </w:p>
        </w:tc>
        <w:tc>
          <w:tcPr>
            <w:tcW w:w="897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2.3.6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 xml:space="preserve">Instrument/Equipment </w:t>
            </w:r>
            <w:r>
              <w:rPr>
                <w:color w:val="000000"/>
                <w:sz w:val="20"/>
                <w:szCs w:val="20"/>
              </w:rPr>
              <w:t xml:space="preserve">Testing, </w:t>
            </w:r>
            <w:r w:rsidRPr="00192640">
              <w:rPr>
                <w:color w:val="000000"/>
                <w:sz w:val="20"/>
                <w:szCs w:val="20"/>
              </w:rPr>
              <w:t>Calibration and Maintenance Requirements</w:t>
            </w:r>
            <w:r>
              <w:rPr>
                <w:color w:val="000000"/>
                <w:sz w:val="20"/>
                <w:szCs w:val="20"/>
              </w:rPr>
              <w:t>, Supplies and Consumables</w:t>
            </w:r>
          </w:p>
        </w:tc>
      </w:tr>
      <w:tr w:rsidR="00874195" w:rsidRPr="00192640" w:rsidTr="00462DE8">
        <w:trPr>
          <w:cantSplit/>
          <w:trHeight w:val="447"/>
        </w:trPr>
        <w:tc>
          <w:tcPr>
            <w:tcW w:w="948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  <w:r w:rsidRPr="0019264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&amp; </w:t>
            </w:r>
            <w:r w:rsidRPr="00192640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3926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Sample Handling, Custody, and Disposal</w:t>
            </w:r>
          </w:p>
        </w:tc>
        <w:tc>
          <w:tcPr>
            <w:tcW w:w="897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2.3.3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Sample Handling, Custody Procedures</w:t>
            </w:r>
            <w:r>
              <w:rPr>
                <w:color w:val="000000"/>
                <w:sz w:val="20"/>
                <w:szCs w:val="20"/>
              </w:rPr>
              <w:t>, and Documentation</w:t>
            </w:r>
          </w:p>
        </w:tc>
      </w:tr>
      <w:tr w:rsidR="00874195" w:rsidRPr="00192640" w:rsidTr="00462DE8">
        <w:trPr>
          <w:cantSplit/>
          <w:trHeight w:val="456"/>
        </w:trPr>
        <w:tc>
          <w:tcPr>
            <w:tcW w:w="948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3926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Analytical Quality Control and Corrective Action</w:t>
            </w:r>
          </w:p>
        </w:tc>
        <w:tc>
          <w:tcPr>
            <w:tcW w:w="897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2.3.5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Quality Control Requirements</w:t>
            </w:r>
          </w:p>
        </w:tc>
      </w:tr>
      <w:tr w:rsidR="00874195" w:rsidRPr="00192640" w:rsidTr="00462DE8">
        <w:trPr>
          <w:cantSplit/>
          <w:trHeight w:val="285"/>
        </w:trPr>
        <w:tc>
          <w:tcPr>
            <w:tcW w:w="948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3926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Project Documents and Records</w:t>
            </w:r>
          </w:p>
        </w:tc>
        <w:tc>
          <w:tcPr>
            <w:tcW w:w="897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2.2.8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Documentation and Records Requirements</w:t>
            </w:r>
          </w:p>
        </w:tc>
      </w:tr>
      <w:tr w:rsidR="00874195" w:rsidRPr="00192640" w:rsidTr="00462DE8">
        <w:trPr>
          <w:trHeight w:val="474"/>
        </w:trPr>
        <w:tc>
          <w:tcPr>
            <w:tcW w:w="948" w:type="dxa"/>
            <w:vMerge w:val="restart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192640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, 3</w:t>
            </w:r>
            <w:r w:rsidRPr="00192640">
              <w:rPr>
                <w:color w:val="000000"/>
                <w:sz w:val="20"/>
                <w:szCs w:val="20"/>
              </w:rPr>
              <w:t xml:space="preserve">2 </w:t>
            </w:r>
            <w:r>
              <w:rPr>
                <w:color w:val="000000"/>
                <w:sz w:val="20"/>
                <w:szCs w:val="20"/>
              </w:rPr>
              <w:t>&amp;</w:t>
            </w:r>
            <w:r w:rsidRPr="00192640">
              <w:rPr>
                <w:color w:val="000000"/>
                <w:sz w:val="20"/>
                <w:szCs w:val="20"/>
              </w:rPr>
              <w:t xml:space="preserve"> 33</w:t>
            </w:r>
          </w:p>
        </w:tc>
        <w:tc>
          <w:tcPr>
            <w:tcW w:w="3926" w:type="dxa"/>
            <w:vMerge w:val="restart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 xml:space="preserve">Assessments and </w:t>
            </w:r>
            <w:r>
              <w:rPr>
                <w:color w:val="000000"/>
                <w:sz w:val="20"/>
                <w:szCs w:val="20"/>
              </w:rPr>
              <w:t>Corrective Action</w:t>
            </w:r>
          </w:p>
        </w:tc>
        <w:tc>
          <w:tcPr>
            <w:tcW w:w="897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ASSESSMENTS AND DATA REVIEW (CHECK)</w:t>
            </w:r>
          </w:p>
        </w:tc>
      </w:tr>
      <w:tr w:rsidR="00874195" w:rsidRPr="00192640" w:rsidTr="00462DE8">
        <w:trPr>
          <w:trHeight w:val="294"/>
        </w:trPr>
        <w:tc>
          <w:tcPr>
            <w:tcW w:w="948" w:type="dxa"/>
            <w:vMerge/>
            <w:vAlign w:val="center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926" w:type="dxa"/>
            <w:vMerge/>
            <w:vAlign w:val="center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  <w:hideMark/>
          </w:tcPr>
          <w:p w:rsidR="00874195" w:rsidRPr="008E1CA3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8E1CA3">
              <w:rPr>
                <w:color w:val="000000"/>
                <w:sz w:val="20"/>
                <w:szCs w:val="20"/>
              </w:rPr>
              <w:t>2.5.5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8E1CA3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8E1CA3">
              <w:rPr>
                <w:color w:val="000000"/>
                <w:sz w:val="20"/>
                <w:szCs w:val="20"/>
              </w:rPr>
              <w:t>Reports to Management</w:t>
            </w:r>
          </w:p>
        </w:tc>
      </w:tr>
      <w:tr w:rsidR="00874195" w:rsidRPr="00192640" w:rsidTr="00462DE8">
        <w:trPr>
          <w:cantSplit/>
          <w:trHeight w:val="465"/>
        </w:trPr>
        <w:tc>
          <w:tcPr>
            <w:tcW w:w="948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3926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Data Verification</w:t>
            </w:r>
            <w:r>
              <w:rPr>
                <w:color w:val="000000"/>
                <w:sz w:val="20"/>
                <w:szCs w:val="20"/>
              </w:rPr>
              <w:t xml:space="preserve"> and Validation Inputs</w:t>
            </w:r>
          </w:p>
        </w:tc>
        <w:tc>
          <w:tcPr>
            <w:tcW w:w="897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2.5.1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Data Verification and Validation Targets and Methods</w:t>
            </w:r>
          </w:p>
        </w:tc>
      </w:tr>
      <w:tr w:rsidR="00874195" w:rsidRPr="00192640" w:rsidTr="00462DE8">
        <w:trPr>
          <w:cantSplit/>
          <w:trHeight w:val="384"/>
        </w:trPr>
        <w:tc>
          <w:tcPr>
            <w:tcW w:w="948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3926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Data Verification</w:t>
            </w:r>
            <w:r>
              <w:rPr>
                <w:color w:val="000000"/>
                <w:sz w:val="20"/>
                <w:szCs w:val="20"/>
              </w:rPr>
              <w:t xml:space="preserve"> Procedures</w:t>
            </w:r>
          </w:p>
        </w:tc>
        <w:tc>
          <w:tcPr>
            <w:tcW w:w="897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2.5.1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Data Verification and Validation Targets and Methods</w:t>
            </w:r>
          </w:p>
        </w:tc>
      </w:tr>
      <w:tr w:rsidR="00874195" w:rsidRPr="00192640" w:rsidTr="00462DE8">
        <w:trPr>
          <w:cantSplit/>
          <w:trHeight w:val="402"/>
        </w:trPr>
        <w:tc>
          <w:tcPr>
            <w:tcW w:w="948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Pr="0019264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926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Data Validation</w:t>
            </w:r>
            <w:r>
              <w:rPr>
                <w:color w:val="000000"/>
                <w:sz w:val="20"/>
                <w:szCs w:val="20"/>
              </w:rPr>
              <w:t xml:space="preserve"> Procedures</w:t>
            </w:r>
          </w:p>
        </w:tc>
        <w:tc>
          <w:tcPr>
            <w:tcW w:w="897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2.5.1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Data Verification and Validation Targets and Methods</w:t>
            </w:r>
          </w:p>
        </w:tc>
      </w:tr>
      <w:tr w:rsidR="00874195" w:rsidRPr="00192640" w:rsidTr="00462DE8">
        <w:trPr>
          <w:trHeight w:val="231"/>
        </w:trPr>
        <w:tc>
          <w:tcPr>
            <w:tcW w:w="948" w:type="dxa"/>
            <w:vMerge w:val="restart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3926" w:type="dxa"/>
            <w:vMerge w:val="restart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Data Usability Assessment</w:t>
            </w:r>
          </w:p>
        </w:tc>
        <w:tc>
          <w:tcPr>
            <w:tcW w:w="897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2.5.2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Quantitative and Qualitative Evaluations of Usability</w:t>
            </w:r>
          </w:p>
        </w:tc>
      </w:tr>
      <w:tr w:rsidR="00874195" w:rsidRPr="00192640" w:rsidTr="00462DE8">
        <w:trPr>
          <w:trHeight w:val="60"/>
        </w:trPr>
        <w:tc>
          <w:tcPr>
            <w:tcW w:w="948" w:type="dxa"/>
            <w:vMerge/>
            <w:vAlign w:val="center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926" w:type="dxa"/>
            <w:vMerge/>
            <w:vAlign w:val="center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2.5.3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Potential Limitations on Data Interpretation</w:t>
            </w:r>
          </w:p>
        </w:tc>
      </w:tr>
      <w:tr w:rsidR="00874195" w:rsidRPr="00192640" w:rsidTr="00462DE8">
        <w:trPr>
          <w:trHeight w:val="213"/>
        </w:trPr>
        <w:tc>
          <w:tcPr>
            <w:tcW w:w="948" w:type="dxa"/>
            <w:vMerge/>
            <w:vAlign w:val="center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926" w:type="dxa"/>
            <w:vMerge/>
            <w:vAlign w:val="center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2.5.4</w:t>
            </w:r>
          </w:p>
        </w:tc>
        <w:tc>
          <w:tcPr>
            <w:tcW w:w="3989" w:type="dxa"/>
            <w:shd w:val="clear" w:color="auto" w:fill="auto"/>
            <w:hideMark/>
          </w:tcPr>
          <w:p w:rsidR="00874195" w:rsidRPr="00192640" w:rsidRDefault="00874195" w:rsidP="00462DE8">
            <w:pPr>
              <w:spacing w:after="0"/>
              <w:rPr>
                <w:bCs/>
                <w:color w:val="000000"/>
                <w:sz w:val="20"/>
                <w:szCs w:val="20"/>
              </w:rPr>
            </w:pPr>
            <w:r w:rsidRPr="00192640">
              <w:rPr>
                <w:color w:val="000000"/>
                <w:sz w:val="20"/>
                <w:szCs w:val="20"/>
              </w:rPr>
              <w:t>Reconciliation with Project Requirements</w:t>
            </w:r>
          </w:p>
        </w:tc>
      </w:tr>
    </w:tbl>
    <w:p w:rsidR="00874195" w:rsidRPr="009C5638" w:rsidRDefault="00874195">
      <w:pPr>
        <w:rPr>
          <w:rFonts w:asciiTheme="minorHAnsi" w:hAnsiTheme="minorHAnsi"/>
        </w:rPr>
      </w:pPr>
    </w:p>
    <w:sectPr w:rsidR="00874195" w:rsidRPr="009C5638" w:rsidSect="00D476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64E" w:rsidRDefault="000C764E" w:rsidP="000C764E">
      <w:pPr>
        <w:spacing w:after="0" w:line="240" w:lineRule="auto"/>
      </w:pPr>
      <w:r>
        <w:separator/>
      </w:r>
    </w:p>
  </w:endnote>
  <w:endnote w:type="continuationSeparator" w:id="0">
    <w:p w:rsidR="000C764E" w:rsidRDefault="000C764E" w:rsidP="000C7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EDHLD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64E" w:rsidRDefault="000C76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64E" w:rsidRDefault="000C764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64E" w:rsidRDefault="000C76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64E" w:rsidRDefault="000C764E" w:rsidP="000C764E">
      <w:pPr>
        <w:spacing w:after="0" w:line="240" w:lineRule="auto"/>
      </w:pPr>
      <w:r>
        <w:separator/>
      </w:r>
    </w:p>
  </w:footnote>
  <w:footnote w:type="continuationSeparator" w:id="0">
    <w:p w:rsidR="000C764E" w:rsidRDefault="000C764E" w:rsidP="000C7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64E" w:rsidRDefault="000C764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64E" w:rsidRDefault="000C764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64E" w:rsidRDefault="000C764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181B"/>
    <w:multiLevelType w:val="hybridMultilevel"/>
    <w:tmpl w:val="BA1E91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ED179"/>
    <w:multiLevelType w:val="hybridMultilevel"/>
    <w:tmpl w:val="5E64CE9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610B19D"/>
    <w:multiLevelType w:val="hybridMultilevel"/>
    <w:tmpl w:val="88A1CCD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2AD028A4"/>
    <w:multiLevelType w:val="hybridMultilevel"/>
    <w:tmpl w:val="B308C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7672F9"/>
    <w:multiLevelType w:val="hybridMultilevel"/>
    <w:tmpl w:val="AD057F8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60C"/>
    <w:rsid w:val="00020923"/>
    <w:rsid w:val="00021E9F"/>
    <w:rsid w:val="000945EB"/>
    <w:rsid w:val="000A3639"/>
    <w:rsid w:val="000A5B06"/>
    <w:rsid w:val="000C764E"/>
    <w:rsid w:val="000D3E71"/>
    <w:rsid w:val="001519D0"/>
    <w:rsid w:val="001A5D46"/>
    <w:rsid w:val="001A70E8"/>
    <w:rsid w:val="001B33C3"/>
    <w:rsid w:val="001E7A8A"/>
    <w:rsid w:val="001F2934"/>
    <w:rsid w:val="00204A27"/>
    <w:rsid w:val="002B6037"/>
    <w:rsid w:val="002F1FCB"/>
    <w:rsid w:val="0037110E"/>
    <w:rsid w:val="003C2C09"/>
    <w:rsid w:val="00434D05"/>
    <w:rsid w:val="00451380"/>
    <w:rsid w:val="00482DBE"/>
    <w:rsid w:val="004A5FAE"/>
    <w:rsid w:val="005502FB"/>
    <w:rsid w:val="00557680"/>
    <w:rsid w:val="00561FB2"/>
    <w:rsid w:val="005747C2"/>
    <w:rsid w:val="0058520E"/>
    <w:rsid w:val="005D3FE0"/>
    <w:rsid w:val="00621F9F"/>
    <w:rsid w:val="0067336F"/>
    <w:rsid w:val="006A6C4C"/>
    <w:rsid w:val="007132D3"/>
    <w:rsid w:val="00734FAF"/>
    <w:rsid w:val="00753025"/>
    <w:rsid w:val="00796375"/>
    <w:rsid w:val="007F07BF"/>
    <w:rsid w:val="007F4C67"/>
    <w:rsid w:val="007F7424"/>
    <w:rsid w:val="00845EAF"/>
    <w:rsid w:val="008659FE"/>
    <w:rsid w:val="00874195"/>
    <w:rsid w:val="0089059A"/>
    <w:rsid w:val="00915AE2"/>
    <w:rsid w:val="00990F18"/>
    <w:rsid w:val="009B484D"/>
    <w:rsid w:val="009C5638"/>
    <w:rsid w:val="009C5ED1"/>
    <w:rsid w:val="00A0037A"/>
    <w:rsid w:val="00A1384E"/>
    <w:rsid w:val="00A14DB0"/>
    <w:rsid w:val="00A51EF2"/>
    <w:rsid w:val="00A80445"/>
    <w:rsid w:val="00A81822"/>
    <w:rsid w:val="00AF1412"/>
    <w:rsid w:val="00B408ED"/>
    <w:rsid w:val="00B41509"/>
    <w:rsid w:val="00B42373"/>
    <w:rsid w:val="00B60C9E"/>
    <w:rsid w:val="00B82632"/>
    <w:rsid w:val="00B84F87"/>
    <w:rsid w:val="00BB2140"/>
    <w:rsid w:val="00BC33B6"/>
    <w:rsid w:val="00BC7D5A"/>
    <w:rsid w:val="00BE28C7"/>
    <w:rsid w:val="00C02096"/>
    <w:rsid w:val="00C03C6A"/>
    <w:rsid w:val="00C061C4"/>
    <w:rsid w:val="00C079C3"/>
    <w:rsid w:val="00C10187"/>
    <w:rsid w:val="00C6427D"/>
    <w:rsid w:val="00CC50C2"/>
    <w:rsid w:val="00CF2E8C"/>
    <w:rsid w:val="00CF6532"/>
    <w:rsid w:val="00D06F66"/>
    <w:rsid w:val="00D322CB"/>
    <w:rsid w:val="00D47652"/>
    <w:rsid w:val="00D91D36"/>
    <w:rsid w:val="00DF3A1E"/>
    <w:rsid w:val="00E01054"/>
    <w:rsid w:val="00E0490D"/>
    <w:rsid w:val="00E302AE"/>
    <w:rsid w:val="00E516F3"/>
    <w:rsid w:val="00E525E8"/>
    <w:rsid w:val="00E6560C"/>
    <w:rsid w:val="00EF7729"/>
    <w:rsid w:val="00F83D49"/>
    <w:rsid w:val="00F930FF"/>
    <w:rsid w:val="00FF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652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nhideWhenUsed/>
    <w:qFormat/>
    <w:rsid w:val="00874195"/>
    <w:pPr>
      <w:keepNext/>
      <w:autoSpaceDE w:val="0"/>
      <w:autoSpaceDN w:val="0"/>
      <w:adjustRightInd w:val="0"/>
      <w:spacing w:before="160" w:line="240" w:lineRule="auto"/>
      <w:ind w:left="720" w:hanging="720"/>
      <w:outlineLvl w:val="1"/>
    </w:pPr>
    <w:rPr>
      <w:rFonts w:ascii="Times New Roman" w:eastAsia="Times New Roman" w:hAnsi="Times New Roman"/>
      <w:b/>
      <w:bCs/>
      <w:cap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6560C"/>
    <w:pPr>
      <w:widowControl w:val="0"/>
      <w:autoSpaceDE w:val="0"/>
      <w:autoSpaceDN w:val="0"/>
      <w:adjustRightInd w:val="0"/>
    </w:pPr>
    <w:rPr>
      <w:rFonts w:ascii="LEDHLD+TimesNewRoman,Bold" w:eastAsia="Times New Roman" w:hAnsi="LEDHLD+TimesNewRoman,Bold" w:cs="LEDHLD+TimesNewRoman,Bold"/>
      <w:color w:val="000000"/>
      <w:sz w:val="24"/>
      <w:szCs w:val="24"/>
    </w:rPr>
  </w:style>
  <w:style w:type="paragraph" w:customStyle="1" w:styleId="CM113">
    <w:name w:val="CM113"/>
    <w:basedOn w:val="Default"/>
    <w:next w:val="Default"/>
    <w:uiPriority w:val="99"/>
    <w:rsid w:val="00E6560C"/>
    <w:rPr>
      <w:rFonts w:cs="Times New Roman"/>
      <w:color w:val="auto"/>
    </w:rPr>
  </w:style>
  <w:style w:type="paragraph" w:customStyle="1" w:styleId="CM114">
    <w:name w:val="CM114"/>
    <w:basedOn w:val="Default"/>
    <w:next w:val="Default"/>
    <w:uiPriority w:val="99"/>
    <w:rsid w:val="00E6560C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6560C"/>
    <w:pPr>
      <w:spacing w:line="273" w:lineRule="atLeast"/>
    </w:pPr>
    <w:rPr>
      <w:rFonts w:cs="Times New Roman"/>
      <w:color w:val="auto"/>
    </w:rPr>
  </w:style>
  <w:style w:type="paragraph" w:customStyle="1" w:styleId="CM14">
    <w:name w:val="CM14"/>
    <w:basedOn w:val="Default"/>
    <w:next w:val="Default"/>
    <w:uiPriority w:val="99"/>
    <w:rsid w:val="00E6560C"/>
    <w:pPr>
      <w:spacing w:line="243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E6560C"/>
    <w:pPr>
      <w:spacing w:line="251" w:lineRule="atLeast"/>
    </w:pPr>
    <w:rPr>
      <w:rFonts w:cs="Times New Roman"/>
      <w:color w:val="auto"/>
    </w:rPr>
  </w:style>
  <w:style w:type="paragraph" w:customStyle="1" w:styleId="CM42">
    <w:name w:val="CM42"/>
    <w:basedOn w:val="Default"/>
    <w:next w:val="Default"/>
    <w:uiPriority w:val="99"/>
    <w:rsid w:val="00E6560C"/>
    <w:pPr>
      <w:spacing w:line="233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uiPriority w:val="99"/>
    <w:rsid w:val="00E6560C"/>
    <w:pPr>
      <w:spacing w:line="278" w:lineRule="atLeast"/>
    </w:pPr>
    <w:rPr>
      <w:rFonts w:cs="Times New Roman"/>
      <w:color w:val="auto"/>
    </w:rPr>
  </w:style>
  <w:style w:type="paragraph" w:customStyle="1" w:styleId="CM122">
    <w:name w:val="CM122"/>
    <w:basedOn w:val="Default"/>
    <w:next w:val="Default"/>
    <w:uiPriority w:val="99"/>
    <w:rsid w:val="00E6560C"/>
    <w:rPr>
      <w:rFonts w:cs="Times New Roman"/>
      <w:color w:val="auto"/>
    </w:rPr>
  </w:style>
  <w:style w:type="paragraph" w:customStyle="1" w:styleId="CM26">
    <w:name w:val="CM26"/>
    <w:basedOn w:val="Default"/>
    <w:next w:val="Default"/>
    <w:uiPriority w:val="99"/>
    <w:rsid w:val="00E6560C"/>
    <w:pPr>
      <w:spacing w:line="256" w:lineRule="atLeast"/>
    </w:pPr>
    <w:rPr>
      <w:rFonts w:cs="Times New Roman"/>
      <w:color w:val="auto"/>
    </w:rPr>
  </w:style>
  <w:style w:type="paragraph" w:styleId="BodyText2">
    <w:name w:val="Body Text 2"/>
    <w:basedOn w:val="Normal"/>
    <w:link w:val="BodyText2Char"/>
    <w:rsid w:val="00990F18"/>
    <w:pPr>
      <w:tabs>
        <w:tab w:val="left" w:pos="-460"/>
      </w:tabs>
      <w:spacing w:after="0" w:line="215" w:lineRule="auto"/>
      <w:ind w:left="360" w:right="72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990F18"/>
    <w:rPr>
      <w:rFonts w:ascii="Times New Roman" w:eastAsia="Times New Roman" w:hAnsi="Times New Roman"/>
      <w:sz w:val="24"/>
    </w:rPr>
  </w:style>
  <w:style w:type="character" w:customStyle="1" w:styleId="Heading1Char">
    <w:name w:val="Heading 1 Char"/>
    <w:basedOn w:val="DefaultParagraphFont"/>
    <w:rsid w:val="00990F18"/>
    <w:rPr>
      <w:b/>
      <w:sz w:val="24"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rsid w:val="00874195"/>
    <w:rPr>
      <w:rFonts w:ascii="Times New Roman" w:eastAsia="Times New Roman" w:hAnsi="Times New Roman"/>
      <w:b/>
      <w:bCs/>
      <w:cap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C7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64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C7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64E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652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nhideWhenUsed/>
    <w:qFormat/>
    <w:rsid w:val="00874195"/>
    <w:pPr>
      <w:keepNext/>
      <w:autoSpaceDE w:val="0"/>
      <w:autoSpaceDN w:val="0"/>
      <w:adjustRightInd w:val="0"/>
      <w:spacing w:before="160" w:line="240" w:lineRule="auto"/>
      <w:ind w:left="720" w:hanging="720"/>
      <w:outlineLvl w:val="1"/>
    </w:pPr>
    <w:rPr>
      <w:rFonts w:ascii="Times New Roman" w:eastAsia="Times New Roman" w:hAnsi="Times New Roman"/>
      <w:b/>
      <w:bCs/>
      <w:cap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6560C"/>
    <w:pPr>
      <w:widowControl w:val="0"/>
      <w:autoSpaceDE w:val="0"/>
      <w:autoSpaceDN w:val="0"/>
      <w:adjustRightInd w:val="0"/>
    </w:pPr>
    <w:rPr>
      <w:rFonts w:ascii="LEDHLD+TimesNewRoman,Bold" w:eastAsia="Times New Roman" w:hAnsi="LEDHLD+TimesNewRoman,Bold" w:cs="LEDHLD+TimesNewRoman,Bold"/>
      <w:color w:val="000000"/>
      <w:sz w:val="24"/>
      <w:szCs w:val="24"/>
    </w:rPr>
  </w:style>
  <w:style w:type="paragraph" w:customStyle="1" w:styleId="CM113">
    <w:name w:val="CM113"/>
    <w:basedOn w:val="Default"/>
    <w:next w:val="Default"/>
    <w:uiPriority w:val="99"/>
    <w:rsid w:val="00E6560C"/>
    <w:rPr>
      <w:rFonts w:cs="Times New Roman"/>
      <w:color w:val="auto"/>
    </w:rPr>
  </w:style>
  <w:style w:type="paragraph" w:customStyle="1" w:styleId="CM114">
    <w:name w:val="CM114"/>
    <w:basedOn w:val="Default"/>
    <w:next w:val="Default"/>
    <w:uiPriority w:val="99"/>
    <w:rsid w:val="00E6560C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6560C"/>
    <w:pPr>
      <w:spacing w:line="273" w:lineRule="atLeast"/>
    </w:pPr>
    <w:rPr>
      <w:rFonts w:cs="Times New Roman"/>
      <w:color w:val="auto"/>
    </w:rPr>
  </w:style>
  <w:style w:type="paragraph" w:customStyle="1" w:styleId="CM14">
    <w:name w:val="CM14"/>
    <w:basedOn w:val="Default"/>
    <w:next w:val="Default"/>
    <w:uiPriority w:val="99"/>
    <w:rsid w:val="00E6560C"/>
    <w:pPr>
      <w:spacing w:line="243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E6560C"/>
    <w:pPr>
      <w:spacing w:line="251" w:lineRule="atLeast"/>
    </w:pPr>
    <w:rPr>
      <w:rFonts w:cs="Times New Roman"/>
      <w:color w:val="auto"/>
    </w:rPr>
  </w:style>
  <w:style w:type="paragraph" w:customStyle="1" w:styleId="CM42">
    <w:name w:val="CM42"/>
    <w:basedOn w:val="Default"/>
    <w:next w:val="Default"/>
    <w:uiPriority w:val="99"/>
    <w:rsid w:val="00E6560C"/>
    <w:pPr>
      <w:spacing w:line="233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uiPriority w:val="99"/>
    <w:rsid w:val="00E6560C"/>
    <w:pPr>
      <w:spacing w:line="278" w:lineRule="atLeast"/>
    </w:pPr>
    <w:rPr>
      <w:rFonts w:cs="Times New Roman"/>
      <w:color w:val="auto"/>
    </w:rPr>
  </w:style>
  <w:style w:type="paragraph" w:customStyle="1" w:styleId="CM122">
    <w:name w:val="CM122"/>
    <w:basedOn w:val="Default"/>
    <w:next w:val="Default"/>
    <w:uiPriority w:val="99"/>
    <w:rsid w:val="00E6560C"/>
    <w:rPr>
      <w:rFonts w:cs="Times New Roman"/>
      <w:color w:val="auto"/>
    </w:rPr>
  </w:style>
  <w:style w:type="paragraph" w:customStyle="1" w:styleId="CM26">
    <w:name w:val="CM26"/>
    <w:basedOn w:val="Default"/>
    <w:next w:val="Default"/>
    <w:uiPriority w:val="99"/>
    <w:rsid w:val="00E6560C"/>
    <w:pPr>
      <w:spacing w:line="256" w:lineRule="atLeast"/>
    </w:pPr>
    <w:rPr>
      <w:rFonts w:cs="Times New Roman"/>
      <w:color w:val="auto"/>
    </w:rPr>
  </w:style>
  <w:style w:type="paragraph" w:styleId="BodyText2">
    <w:name w:val="Body Text 2"/>
    <w:basedOn w:val="Normal"/>
    <w:link w:val="BodyText2Char"/>
    <w:rsid w:val="00990F18"/>
    <w:pPr>
      <w:tabs>
        <w:tab w:val="left" w:pos="-460"/>
      </w:tabs>
      <w:spacing w:after="0" w:line="215" w:lineRule="auto"/>
      <w:ind w:left="360" w:right="72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990F18"/>
    <w:rPr>
      <w:rFonts w:ascii="Times New Roman" w:eastAsia="Times New Roman" w:hAnsi="Times New Roman"/>
      <w:sz w:val="24"/>
    </w:rPr>
  </w:style>
  <w:style w:type="character" w:customStyle="1" w:styleId="Heading1Char">
    <w:name w:val="Heading 1 Char"/>
    <w:basedOn w:val="DefaultParagraphFont"/>
    <w:rsid w:val="00990F18"/>
    <w:rPr>
      <w:b/>
      <w:sz w:val="24"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rsid w:val="00874195"/>
    <w:rPr>
      <w:rFonts w:ascii="Times New Roman" w:eastAsia="Times New Roman" w:hAnsi="Times New Roman"/>
      <w:b/>
      <w:bCs/>
      <w:cap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C7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64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C7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64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1368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Executive Summary</vt:lpstr>
    </vt:vector>
  </TitlesOfParts>
  <Company/>
  <LinksUpToDate>false</LinksUpToDate>
  <CharactersWithSpaces>9153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Executive Summary</dc:title>
  <dc:subject>This document describes the optimization of the UFP-QAPP worksheets.</dc:subject>
  <dc:creator>US EPA;US Department of Defense;US Department of Energy</dc:creator>
  <cp:keywords>quality assurance, UFP-QAPP, crosswalk</cp:keywords>
  <cp:lastModifiedBy>Kevin O'Donovan</cp:lastModifiedBy>
  <cp:revision>3</cp:revision>
  <cp:lastPrinted>2012-03-13T17:50:00Z</cp:lastPrinted>
  <dcterms:created xsi:type="dcterms:W3CDTF">2012-05-04T18:44:00Z</dcterms:created>
  <dcterms:modified xsi:type="dcterms:W3CDTF">2012-05-08T15:25:00Z</dcterms:modified>
</cp:coreProperties>
</file>