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364" w:rsidRPr="00332EF5" w:rsidRDefault="00B82364" w:rsidP="00332EF5">
      <w:pPr>
        <w:spacing w:after="0"/>
        <w:jc w:val="center"/>
        <w:rPr>
          <w:b/>
          <w:bCs/>
        </w:rPr>
      </w:pPr>
      <w:bookmarkStart w:id="0" w:name="_GoBack"/>
      <w:bookmarkEnd w:id="0"/>
      <w:r w:rsidRPr="00332EF5">
        <w:rPr>
          <w:b/>
          <w:bCs/>
        </w:rPr>
        <w:t>QAPP Worksheet #1</w:t>
      </w:r>
      <w:r w:rsidR="008041B3">
        <w:rPr>
          <w:b/>
          <w:bCs/>
        </w:rPr>
        <w:t xml:space="preserve">3: </w:t>
      </w:r>
      <w:r>
        <w:rPr>
          <w:b/>
          <w:bCs/>
        </w:rPr>
        <w:t>Secondary Data Uses and Limitations</w:t>
      </w:r>
    </w:p>
    <w:p w:rsidR="00B82364" w:rsidRDefault="00B82364" w:rsidP="00332EF5">
      <w:pPr>
        <w:spacing w:after="0"/>
        <w:jc w:val="center"/>
        <w:rPr>
          <w:b/>
          <w:bCs/>
        </w:rPr>
      </w:pPr>
      <w:r w:rsidRPr="00332EF5">
        <w:rPr>
          <w:b/>
          <w:bCs/>
        </w:rPr>
        <w:t xml:space="preserve">(UFP-QAPP </w:t>
      </w:r>
      <w:r w:rsidR="00B73212">
        <w:rPr>
          <w:b/>
          <w:bCs/>
        </w:rPr>
        <w:t xml:space="preserve">Manual </w:t>
      </w:r>
      <w:r w:rsidRPr="00332EF5">
        <w:rPr>
          <w:b/>
          <w:bCs/>
        </w:rPr>
        <w:t>Section 2.</w:t>
      </w:r>
      <w:r>
        <w:rPr>
          <w:b/>
          <w:bCs/>
        </w:rPr>
        <w:t>7</w:t>
      </w:r>
      <w:r w:rsidRPr="00332EF5">
        <w:rPr>
          <w:b/>
          <w:bCs/>
        </w:rPr>
        <w:t>)</w:t>
      </w:r>
    </w:p>
    <w:p w:rsidR="00B73212" w:rsidRDefault="00B73212" w:rsidP="00B73212">
      <w:pPr>
        <w:spacing w:after="0"/>
        <w:jc w:val="center"/>
      </w:pPr>
      <w:r>
        <w:rPr>
          <w:b/>
        </w:rPr>
        <w:t xml:space="preserve">(EPA 2106-G-05 Chapter 3: </w:t>
      </w:r>
      <w:r w:rsidR="00E953E9">
        <w:rPr>
          <w:b/>
        </w:rPr>
        <w:t>QAPP E</w:t>
      </w:r>
      <w:r>
        <w:rPr>
          <w:b/>
        </w:rPr>
        <w:t xml:space="preserve">lements </w:t>
      </w:r>
      <w:proofErr w:type="gramStart"/>
      <w:r>
        <w:rPr>
          <w:b/>
        </w:rPr>
        <w:t>For</w:t>
      </w:r>
      <w:proofErr w:type="gramEnd"/>
      <w:r>
        <w:rPr>
          <w:b/>
        </w:rPr>
        <w:t xml:space="preserve"> Evaluating </w:t>
      </w:r>
      <w:r w:rsidR="00E953E9">
        <w:rPr>
          <w:b/>
        </w:rPr>
        <w:t>Existing D</w:t>
      </w:r>
      <w:r>
        <w:rPr>
          <w:b/>
        </w:rPr>
        <w:t>ata)</w:t>
      </w:r>
    </w:p>
    <w:p w:rsidR="00B82364" w:rsidRDefault="00B82364" w:rsidP="00332EF5">
      <w:pPr>
        <w:spacing w:after="0"/>
        <w:jc w:val="center"/>
      </w:pPr>
    </w:p>
    <w:p w:rsidR="00B82364" w:rsidRPr="00130C99" w:rsidRDefault="00B82364" w:rsidP="00B02C29">
      <w:pPr>
        <w:spacing w:after="0"/>
        <w:rPr>
          <w:color w:val="00B050"/>
        </w:rPr>
      </w:pPr>
      <w:r w:rsidRPr="00130C99">
        <w:rPr>
          <w:color w:val="00B050"/>
        </w:rPr>
        <w:t>This worksheet should be used to identify sources of secondary data (i.e., data generated for purposes other than this specific project or data pertinent to this project generated under a separate QAPP) and summarize information relevant to their</w:t>
      </w:r>
      <w:r w:rsidR="00762E64">
        <w:rPr>
          <w:color w:val="00B050"/>
        </w:rPr>
        <w:t xml:space="preserve"> uses for the current project. </w:t>
      </w:r>
      <w:r w:rsidRPr="00130C99">
        <w:rPr>
          <w:color w:val="00B050"/>
        </w:rPr>
        <w:t>This worksheet should be supplemented by text describing specifically how all secondary data will be used.</w:t>
      </w:r>
      <w:r w:rsidR="00762E64">
        <w:rPr>
          <w:color w:val="00B050"/>
        </w:rPr>
        <w:t xml:space="preserve"> </w:t>
      </w:r>
      <w:r w:rsidRPr="00130C99">
        <w:rPr>
          <w:color w:val="00B050"/>
        </w:rPr>
        <w:t xml:space="preserve">The project team needs to carefully evaluate the quality of secondary data (in terms of precision, bias, representativeness, </w:t>
      </w:r>
      <w:r>
        <w:rPr>
          <w:color w:val="00B050"/>
        </w:rPr>
        <w:t xml:space="preserve">comparability, and </w:t>
      </w:r>
      <w:r w:rsidRPr="00130C99">
        <w:rPr>
          <w:color w:val="00B050"/>
        </w:rPr>
        <w:t>completeness) to ensure they are of the type and quality necessary to suppor</w:t>
      </w:r>
      <w:r w:rsidR="00762E64">
        <w:rPr>
          <w:color w:val="00B050"/>
        </w:rPr>
        <w:t xml:space="preserve">t their intended uses. </w:t>
      </w:r>
      <w:r w:rsidRPr="00130C99">
        <w:rPr>
          <w:color w:val="00B050"/>
        </w:rPr>
        <w:t>Secondary d</w:t>
      </w:r>
      <w:r w:rsidR="00762E64">
        <w:rPr>
          <w:color w:val="00B050"/>
        </w:rPr>
        <w:t xml:space="preserve">ata can include the following: </w:t>
      </w:r>
      <w:r w:rsidRPr="00130C99">
        <w:rPr>
          <w:color w:val="00B050"/>
        </w:rPr>
        <w:t>sampling and testing data collected during previous investigations, historical data, background information, interviews, modeling data, photographs, aerial photographs, topographic maps, an</w:t>
      </w:r>
      <w:r w:rsidR="00762E64">
        <w:rPr>
          <w:color w:val="00B050"/>
        </w:rPr>
        <w:t xml:space="preserve">d published literature. </w:t>
      </w:r>
      <w:r w:rsidRPr="00130C99">
        <w:rPr>
          <w:color w:val="00B050"/>
        </w:rPr>
        <w:t xml:space="preserve">When evaluating the reliability of </w:t>
      </w:r>
      <w:r>
        <w:rPr>
          <w:color w:val="00B050"/>
        </w:rPr>
        <w:t xml:space="preserve">secondary </w:t>
      </w:r>
      <w:r w:rsidRPr="00130C99">
        <w:rPr>
          <w:color w:val="00B050"/>
        </w:rPr>
        <w:t xml:space="preserve">data and </w:t>
      </w:r>
      <w:r>
        <w:rPr>
          <w:color w:val="00B050"/>
        </w:rPr>
        <w:t xml:space="preserve">determining </w:t>
      </w:r>
      <w:r w:rsidRPr="00130C99">
        <w:rPr>
          <w:color w:val="00B050"/>
        </w:rPr>
        <w:t xml:space="preserve">limitations on </w:t>
      </w:r>
      <w:r>
        <w:rPr>
          <w:color w:val="00B050"/>
        </w:rPr>
        <w:t>their</w:t>
      </w:r>
      <w:r w:rsidRPr="00130C99">
        <w:rPr>
          <w:color w:val="00B050"/>
        </w:rPr>
        <w:t xml:space="preserve"> use</w:t>
      </w:r>
      <w:r>
        <w:rPr>
          <w:color w:val="00B050"/>
        </w:rPr>
        <w:t>s</w:t>
      </w:r>
      <w:r w:rsidRPr="00130C99">
        <w:rPr>
          <w:color w:val="00B050"/>
        </w:rPr>
        <w:t>, consider the source of the data, the time period during which they were collected, data collection methods, potential sources of uncertainty, the type of supporting documentation available, and the comparability of data collection methods to the currently proposed methods.</w:t>
      </w:r>
      <w:r w:rsidR="00762E64">
        <w:rPr>
          <w:color w:val="00B050"/>
        </w:rPr>
        <w:t xml:space="preserve"> </w:t>
      </w:r>
      <w:r>
        <w:rPr>
          <w:color w:val="00B050"/>
        </w:rPr>
        <w:t>Examples are provided below.</w:t>
      </w:r>
    </w:p>
    <w:p w:rsidR="00B82364" w:rsidRDefault="00B82364" w:rsidP="00B02C29">
      <w:pPr>
        <w:spacing w:after="0"/>
        <w:rPr>
          <w:color w:val="00B050"/>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96"/>
        <w:gridCol w:w="2196"/>
        <w:gridCol w:w="4176"/>
        <w:gridCol w:w="4500"/>
      </w:tblGrid>
      <w:tr w:rsidR="00B82364" w:rsidRPr="001F0503">
        <w:tc>
          <w:tcPr>
            <w:tcW w:w="2196" w:type="dxa"/>
            <w:vAlign w:val="center"/>
          </w:tcPr>
          <w:p w:rsidR="00B82364" w:rsidRPr="001F0503" w:rsidRDefault="00B82364" w:rsidP="001F0503">
            <w:pPr>
              <w:spacing w:after="0" w:line="240" w:lineRule="auto"/>
              <w:jc w:val="center"/>
              <w:rPr>
                <w:b/>
                <w:bCs/>
              </w:rPr>
            </w:pPr>
            <w:r w:rsidRPr="001F0503">
              <w:rPr>
                <w:b/>
                <w:bCs/>
              </w:rPr>
              <w:t>Data type</w:t>
            </w:r>
          </w:p>
        </w:tc>
        <w:tc>
          <w:tcPr>
            <w:tcW w:w="2196" w:type="dxa"/>
            <w:vAlign w:val="center"/>
          </w:tcPr>
          <w:p w:rsidR="00B82364" w:rsidRPr="001F0503" w:rsidRDefault="00B82364" w:rsidP="001F0503">
            <w:pPr>
              <w:spacing w:after="0" w:line="240" w:lineRule="auto"/>
              <w:jc w:val="center"/>
              <w:rPr>
                <w:b/>
                <w:bCs/>
              </w:rPr>
            </w:pPr>
            <w:r w:rsidRPr="001F0503">
              <w:rPr>
                <w:b/>
                <w:bCs/>
              </w:rPr>
              <w:t>Source</w:t>
            </w:r>
          </w:p>
        </w:tc>
        <w:tc>
          <w:tcPr>
            <w:tcW w:w="4176" w:type="dxa"/>
            <w:vAlign w:val="center"/>
          </w:tcPr>
          <w:p w:rsidR="00B82364" w:rsidRPr="001F0503" w:rsidRDefault="00B82364" w:rsidP="001F0503">
            <w:pPr>
              <w:spacing w:after="0" w:line="240" w:lineRule="auto"/>
              <w:jc w:val="center"/>
              <w:rPr>
                <w:b/>
                <w:bCs/>
              </w:rPr>
            </w:pPr>
            <w:r w:rsidRPr="001F0503">
              <w:rPr>
                <w:b/>
                <w:bCs/>
              </w:rPr>
              <w:t>Data uses</w:t>
            </w:r>
            <w:r w:rsidR="001706D5">
              <w:rPr>
                <w:b/>
                <w:bCs/>
              </w:rPr>
              <w:t xml:space="preserve"> relative to current project</w:t>
            </w:r>
          </w:p>
        </w:tc>
        <w:tc>
          <w:tcPr>
            <w:tcW w:w="4500" w:type="dxa"/>
            <w:vAlign w:val="center"/>
          </w:tcPr>
          <w:p w:rsidR="00B82364" w:rsidRPr="001F0503" w:rsidRDefault="00B82364" w:rsidP="001F0503">
            <w:pPr>
              <w:spacing w:after="0" w:line="240" w:lineRule="auto"/>
              <w:jc w:val="center"/>
              <w:rPr>
                <w:b/>
                <w:bCs/>
              </w:rPr>
            </w:pPr>
            <w:r w:rsidRPr="001F0503">
              <w:rPr>
                <w:b/>
                <w:bCs/>
              </w:rPr>
              <w:t>Factors affecting the reliability of data and limitations on data use</w:t>
            </w:r>
          </w:p>
        </w:tc>
      </w:tr>
      <w:tr w:rsidR="00B82364" w:rsidRPr="001F0503">
        <w:tc>
          <w:tcPr>
            <w:tcW w:w="2196" w:type="dxa"/>
          </w:tcPr>
          <w:p w:rsidR="00B82364" w:rsidRPr="001F0503" w:rsidRDefault="00B82364" w:rsidP="001F0503">
            <w:pPr>
              <w:spacing w:after="0" w:line="240" w:lineRule="auto"/>
              <w:rPr>
                <w:color w:val="0070C0"/>
                <w:sz w:val="20"/>
                <w:szCs w:val="20"/>
              </w:rPr>
            </w:pPr>
            <w:r w:rsidRPr="001F0503">
              <w:rPr>
                <w:color w:val="0070C0"/>
                <w:sz w:val="20"/>
                <w:szCs w:val="20"/>
              </w:rPr>
              <w:t>Meteorological</w:t>
            </w:r>
          </w:p>
        </w:tc>
        <w:tc>
          <w:tcPr>
            <w:tcW w:w="2196" w:type="dxa"/>
          </w:tcPr>
          <w:p w:rsidR="00B82364" w:rsidRPr="001F0503" w:rsidRDefault="00B82364" w:rsidP="001F0503">
            <w:pPr>
              <w:spacing w:after="0" w:line="240" w:lineRule="auto"/>
              <w:rPr>
                <w:color w:val="0070C0"/>
                <w:sz w:val="20"/>
                <w:szCs w:val="20"/>
              </w:rPr>
            </w:pPr>
            <w:r w:rsidRPr="001F0503">
              <w:rPr>
                <w:color w:val="0070C0"/>
                <w:sz w:val="20"/>
                <w:szCs w:val="20"/>
              </w:rPr>
              <w:t>National Weather Service</w:t>
            </w:r>
          </w:p>
        </w:tc>
        <w:tc>
          <w:tcPr>
            <w:tcW w:w="4176" w:type="dxa"/>
          </w:tcPr>
          <w:p w:rsidR="00B82364" w:rsidRPr="001F0503" w:rsidRDefault="00B82364" w:rsidP="001F0503">
            <w:pPr>
              <w:spacing w:after="0" w:line="240" w:lineRule="auto"/>
              <w:rPr>
                <w:color w:val="0070C0"/>
                <w:sz w:val="20"/>
                <w:szCs w:val="20"/>
              </w:rPr>
            </w:pPr>
            <w:r w:rsidRPr="001F0503">
              <w:rPr>
                <w:color w:val="0070C0"/>
                <w:sz w:val="20"/>
                <w:szCs w:val="20"/>
              </w:rPr>
              <w:t>Estimations of seasonal fluctuations in storm water runoff.</w:t>
            </w:r>
          </w:p>
        </w:tc>
        <w:tc>
          <w:tcPr>
            <w:tcW w:w="4500" w:type="dxa"/>
          </w:tcPr>
          <w:p w:rsidR="00B82364" w:rsidRPr="001F0503" w:rsidRDefault="00B82364" w:rsidP="001F0503">
            <w:pPr>
              <w:spacing w:after="0" w:line="240" w:lineRule="auto"/>
              <w:rPr>
                <w:color w:val="0070C0"/>
                <w:sz w:val="20"/>
                <w:szCs w:val="20"/>
              </w:rPr>
            </w:pPr>
            <w:r w:rsidRPr="001F0503">
              <w:rPr>
                <w:color w:val="0070C0"/>
                <w:sz w:val="20"/>
                <w:szCs w:val="20"/>
              </w:rPr>
              <w:t>Published data ar</w:t>
            </w:r>
            <w:r w:rsidR="00762E64">
              <w:rPr>
                <w:color w:val="0070C0"/>
                <w:sz w:val="20"/>
                <w:szCs w:val="20"/>
              </w:rPr>
              <w:t xml:space="preserve">e available for past 20 years. </w:t>
            </w:r>
            <w:r w:rsidRPr="001F0503">
              <w:rPr>
                <w:color w:val="0070C0"/>
                <w:sz w:val="20"/>
                <w:szCs w:val="20"/>
              </w:rPr>
              <w:t>No known limitations.</w:t>
            </w:r>
          </w:p>
        </w:tc>
      </w:tr>
      <w:tr w:rsidR="00B82364" w:rsidRPr="001F0503">
        <w:tc>
          <w:tcPr>
            <w:tcW w:w="2196" w:type="dxa"/>
          </w:tcPr>
          <w:p w:rsidR="00B82364" w:rsidRPr="001F0503" w:rsidRDefault="00B82364" w:rsidP="001F0503">
            <w:pPr>
              <w:spacing w:after="0" w:line="240" w:lineRule="auto"/>
              <w:rPr>
                <w:color w:val="0070C0"/>
                <w:sz w:val="20"/>
                <w:szCs w:val="20"/>
              </w:rPr>
            </w:pPr>
            <w:r w:rsidRPr="001F0503">
              <w:rPr>
                <w:color w:val="0070C0"/>
                <w:sz w:val="20"/>
                <w:szCs w:val="20"/>
              </w:rPr>
              <w:t>Topographic</w:t>
            </w:r>
          </w:p>
        </w:tc>
        <w:tc>
          <w:tcPr>
            <w:tcW w:w="2196" w:type="dxa"/>
          </w:tcPr>
          <w:p w:rsidR="00B82364" w:rsidRPr="001F0503" w:rsidRDefault="00B82364" w:rsidP="001F0503">
            <w:pPr>
              <w:spacing w:after="0" w:line="240" w:lineRule="auto"/>
              <w:rPr>
                <w:color w:val="0070C0"/>
                <w:sz w:val="20"/>
                <w:szCs w:val="20"/>
              </w:rPr>
            </w:pPr>
            <w:r w:rsidRPr="001F0503">
              <w:rPr>
                <w:color w:val="0070C0"/>
                <w:sz w:val="20"/>
                <w:szCs w:val="20"/>
              </w:rPr>
              <w:t>USGS</w:t>
            </w:r>
          </w:p>
        </w:tc>
        <w:tc>
          <w:tcPr>
            <w:tcW w:w="4176" w:type="dxa"/>
          </w:tcPr>
          <w:p w:rsidR="00B82364" w:rsidRPr="001F0503" w:rsidRDefault="00B82364" w:rsidP="001F0503">
            <w:pPr>
              <w:spacing w:after="0" w:line="240" w:lineRule="auto"/>
              <w:rPr>
                <w:color w:val="0070C0"/>
                <w:sz w:val="20"/>
                <w:szCs w:val="20"/>
              </w:rPr>
            </w:pPr>
            <w:r w:rsidRPr="001F0503">
              <w:rPr>
                <w:color w:val="0070C0"/>
                <w:sz w:val="20"/>
                <w:szCs w:val="20"/>
              </w:rPr>
              <w:t>Surface water drainage pathways.</w:t>
            </w:r>
          </w:p>
        </w:tc>
        <w:tc>
          <w:tcPr>
            <w:tcW w:w="4500" w:type="dxa"/>
          </w:tcPr>
          <w:p w:rsidR="00B82364" w:rsidRPr="001F0503" w:rsidRDefault="00B82364" w:rsidP="001F0503">
            <w:pPr>
              <w:spacing w:after="0" w:line="240" w:lineRule="auto"/>
              <w:rPr>
                <w:color w:val="0070C0"/>
                <w:sz w:val="20"/>
                <w:szCs w:val="20"/>
              </w:rPr>
            </w:pPr>
            <w:r w:rsidRPr="001F0503">
              <w:rPr>
                <w:color w:val="0070C0"/>
                <w:sz w:val="20"/>
                <w:szCs w:val="20"/>
              </w:rPr>
              <w:t>Topography in area X has been altered by grading act</w:t>
            </w:r>
            <w:r w:rsidR="00762E64">
              <w:rPr>
                <w:color w:val="0070C0"/>
                <w:sz w:val="20"/>
                <w:szCs w:val="20"/>
              </w:rPr>
              <w:t>ivities between 2008 and 2009.</w:t>
            </w:r>
          </w:p>
        </w:tc>
      </w:tr>
      <w:tr w:rsidR="00B82364" w:rsidRPr="001F0503">
        <w:tc>
          <w:tcPr>
            <w:tcW w:w="2196" w:type="dxa"/>
          </w:tcPr>
          <w:p w:rsidR="00B82364" w:rsidRPr="001F0503" w:rsidRDefault="00B82364" w:rsidP="001F0503">
            <w:pPr>
              <w:spacing w:after="0" w:line="240" w:lineRule="auto"/>
              <w:rPr>
                <w:color w:val="0070C0"/>
                <w:sz w:val="20"/>
                <w:szCs w:val="20"/>
              </w:rPr>
            </w:pPr>
            <w:r w:rsidRPr="001F0503">
              <w:rPr>
                <w:color w:val="0070C0"/>
                <w:sz w:val="20"/>
                <w:szCs w:val="20"/>
              </w:rPr>
              <w:t>Background concentrations of RCRA metals in soil</w:t>
            </w:r>
          </w:p>
        </w:tc>
        <w:tc>
          <w:tcPr>
            <w:tcW w:w="2196" w:type="dxa"/>
          </w:tcPr>
          <w:p w:rsidR="00B82364" w:rsidRPr="001F0503" w:rsidRDefault="00C97361" w:rsidP="00C97361">
            <w:pPr>
              <w:spacing w:after="0" w:line="240" w:lineRule="auto"/>
              <w:rPr>
                <w:color w:val="0070C0"/>
                <w:sz w:val="20"/>
                <w:szCs w:val="20"/>
              </w:rPr>
            </w:pPr>
            <w:r>
              <w:rPr>
                <w:color w:val="0070C0"/>
                <w:sz w:val="20"/>
                <w:szCs w:val="20"/>
              </w:rPr>
              <w:t xml:space="preserve">SI Report, </w:t>
            </w:r>
            <w:r w:rsidR="00B82364" w:rsidRPr="001F0503">
              <w:rPr>
                <w:color w:val="0070C0"/>
                <w:sz w:val="20"/>
                <w:szCs w:val="20"/>
              </w:rPr>
              <w:t xml:space="preserve">AE Engineering </w:t>
            </w:r>
            <w:r>
              <w:rPr>
                <w:color w:val="0070C0"/>
                <w:sz w:val="20"/>
                <w:szCs w:val="20"/>
              </w:rPr>
              <w:t>2006</w:t>
            </w:r>
          </w:p>
        </w:tc>
        <w:tc>
          <w:tcPr>
            <w:tcW w:w="4176" w:type="dxa"/>
          </w:tcPr>
          <w:p w:rsidR="00B82364" w:rsidRPr="001F0503" w:rsidRDefault="00B82364" w:rsidP="001F0503">
            <w:pPr>
              <w:spacing w:after="0" w:line="240" w:lineRule="auto"/>
              <w:rPr>
                <w:color w:val="0070C0"/>
                <w:sz w:val="20"/>
                <w:szCs w:val="20"/>
              </w:rPr>
            </w:pPr>
            <w:r w:rsidRPr="001F0503">
              <w:rPr>
                <w:color w:val="0070C0"/>
                <w:sz w:val="20"/>
                <w:szCs w:val="20"/>
              </w:rPr>
              <w:t>Comparison to metals concentrations in surface and subsurface soils in area X.</w:t>
            </w:r>
          </w:p>
        </w:tc>
        <w:tc>
          <w:tcPr>
            <w:tcW w:w="4500" w:type="dxa"/>
          </w:tcPr>
          <w:p w:rsidR="00B82364" w:rsidRPr="001F0503" w:rsidRDefault="00B82364" w:rsidP="00762E64">
            <w:pPr>
              <w:spacing w:after="0" w:line="240" w:lineRule="auto"/>
              <w:rPr>
                <w:color w:val="0070C0"/>
                <w:sz w:val="20"/>
                <w:szCs w:val="20"/>
              </w:rPr>
            </w:pPr>
            <w:r w:rsidRPr="001F0503">
              <w:rPr>
                <w:color w:val="0070C0"/>
                <w:sz w:val="20"/>
                <w:szCs w:val="20"/>
              </w:rPr>
              <w:t>Substantial excavation has taken place since 1996 in areas from which back</w:t>
            </w:r>
            <w:r w:rsidR="00762E64">
              <w:rPr>
                <w:color w:val="0070C0"/>
                <w:sz w:val="20"/>
                <w:szCs w:val="20"/>
              </w:rPr>
              <w:t xml:space="preserve">ground samples were collected. </w:t>
            </w:r>
            <w:r w:rsidR="001706D5">
              <w:rPr>
                <w:color w:val="0070C0"/>
                <w:sz w:val="20"/>
                <w:szCs w:val="20"/>
              </w:rPr>
              <w:t xml:space="preserve">Depth of subsurface samples is unknown. </w:t>
            </w:r>
            <w:r w:rsidRPr="001F0503">
              <w:rPr>
                <w:color w:val="0070C0"/>
                <w:sz w:val="20"/>
                <w:szCs w:val="20"/>
              </w:rPr>
              <w:t>Supplemental background samples will be collected. (See WS 17)</w:t>
            </w:r>
          </w:p>
        </w:tc>
      </w:tr>
      <w:tr w:rsidR="00B82364" w:rsidRPr="001F0503">
        <w:tc>
          <w:tcPr>
            <w:tcW w:w="2196" w:type="dxa"/>
          </w:tcPr>
          <w:p w:rsidR="00B82364" w:rsidRPr="001F0503" w:rsidRDefault="00B82364" w:rsidP="001F0503">
            <w:pPr>
              <w:spacing w:after="0" w:line="240" w:lineRule="auto"/>
              <w:rPr>
                <w:color w:val="0070C0"/>
                <w:sz w:val="20"/>
                <w:szCs w:val="20"/>
              </w:rPr>
            </w:pPr>
            <w:r w:rsidRPr="001F0503">
              <w:rPr>
                <w:color w:val="0070C0"/>
                <w:sz w:val="20"/>
                <w:szCs w:val="20"/>
              </w:rPr>
              <w:t>Past site uses</w:t>
            </w:r>
          </w:p>
        </w:tc>
        <w:tc>
          <w:tcPr>
            <w:tcW w:w="2196" w:type="dxa"/>
          </w:tcPr>
          <w:p w:rsidR="00B82364" w:rsidRPr="001F0503" w:rsidRDefault="00B82364" w:rsidP="001F0503">
            <w:pPr>
              <w:spacing w:after="0" w:line="240" w:lineRule="auto"/>
              <w:rPr>
                <w:color w:val="0070C0"/>
                <w:sz w:val="20"/>
                <w:szCs w:val="20"/>
              </w:rPr>
            </w:pPr>
            <w:r w:rsidRPr="001F0503">
              <w:rPr>
                <w:color w:val="0070C0"/>
                <w:sz w:val="20"/>
                <w:szCs w:val="20"/>
              </w:rPr>
              <w:t>Plant operating records and personnel interviews</w:t>
            </w:r>
          </w:p>
        </w:tc>
        <w:tc>
          <w:tcPr>
            <w:tcW w:w="4176" w:type="dxa"/>
          </w:tcPr>
          <w:p w:rsidR="00B82364" w:rsidRPr="001F0503" w:rsidRDefault="00B82364" w:rsidP="001F0503">
            <w:pPr>
              <w:spacing w:after="0" w:line="240" w:lineRule="auto"/>
              <w:rPr>
                <w:color w:val="0070C0"/>
                <w:sz w:val="20"/>
                <w:szCs w:val="20"/>
              </w:rPr>
            </w:pPr>
            <w:r w:rsidRPr="001F0503">
              <w:rPr>
                <w:color w:val="0070C0"/>
                <w:sz w:val="20"/>
                <w:szCs w:val="20"/>
              </w:rPr>
              <w:t>Potential locations of burn pits.</w:t>
            </w:r>
          </w:p>
        </w:tc>
        <w:tc>
          <w:tcPr>
            <w:tcW w:w="4500" w:type="dxa"/>
          </w:tcPr>
          <w:p w:rsidR="00B82364" w:rsidRPr="001F0503" w:rsidRDefault="00B82364" w:rsidP="001F0503">
            <w:pPr>
              <w:spacing w:after="0" w:line="240" w:lineRule="auto"/>
              <w:rPr>
                <w:color w:val="0070C0"/>
                <w:sz w:val="20"/>
                <w:szCs w:val="20"/>
              </w:rPr>
            </w:pPr>
            <w:r w:rsidRPr="001F0503">
              <w:rPr>
                <w:color w:val="0070C0"/>
                <w:sz w:val="20"/>
                <w:szCs w:val="20"/>
              </w:rPr>
              <w:t>Records for operatio</w:t>
            </w:r>
            <w:r w:rsidR="00762E64">
              <w:rPr>
                <w:color w:val="0070C0"/>
                <w:sz w:val="20"/>
                <w:szCs w:val="20"/>
              </w:rPr>
              <w:t xml:space="preserve">ns prior to 1966 lost in fire. </w:t>
            </w:r>
            <w:r w:rsidRPr="001F0503">
              <w:rPr>
                <w:color w:val="0070C0"/>
                <w:sz w:val="20"/>
                <w:szCs w:val="20"/>
              </w:rPr>
              <w:t>Information prior to 1966 based solely on interviews.</w:t>
            </w:r>
          </w:p>
        </w:tc>
      </w:tr>
    </w:tbl>
    <w:p w:rsidR="00B82364" w:rsidRDefault="00B82364" w:rsidP="002E44E2">
      <w:pPr>
        <w:pStyle w:val="ListParagraph"/>
        <w:spacing w:before="240"/>
        <w:ind w:left="1440"/>
      </w:pPr>
    </w:p>
    <w:sectPr w:rsidR="00B82364" w:rsidSect="004A175F">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1C6" w:rsidRDefault="003C31C6" w:rsidP="00FF0C16">
      <w:pPr>
        <w:spacing w:after="0" w:line="240" w:lineRule="auto"/>
      </w:pPr>
      <w:r>
        <w:separator/>
      </w:r>
    </w:p>
  </w:endnote>
  <w:endnote w:type="continuationSeparator" w:id="0">
    <w:p w:rsidR="003C31C6" w:rsidRDefault="003C31C6" w:rsidP="00FF0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1C6" w:rsidRDefault="003C31C6" w:rsidP="00FF0C16">
      <w:pPr>
        <w:spacing w:after="0" w:line="240" w:lineRule="auto"/>
      </w:pPr>
      <w:r>
        <w:separator/>
      </w:r>
    </w:p>
  </w:footnote>
  <w:footnote w:type="continuationSeparator" w:id="0">
    <w:p w:rsidR="003C31C6" w:rsidRDefault="003C31C6" w:rsidP="00FF0C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364" w:rsidRPr="00130C99" w:rsidRDefault="00B82364">
    <w:pPr>
      <w:pStyle w:val="Header"/>
      <w:jc w:val="right"/>
      <w:rPr>
        <w:sz w:val="20"/>
        <w:szCs w:val="20"/>
      </w:rPr>
    </w:pPr>
    <w:r w:rsidRPr="00130C99">
      <w:rPr>
        <w:sz w:val="20"/>
        <w:szCs w:val="20"/>
      </w:rPr>
      <w:t>Title:</w:t>
    </w:r>
  </w:p>
  <w:p w:rsidR="00B82364" w:rsidRPr="00130C99" w:rsidRDefault="00B82364">
    <w:pPr>
      <w:pStyle w:val="Header"/>
      <w:jc w:val="right"/>
      <w:rPr>
        <w:sz w:val="20"/>
        <w:szCs w:val="20"/>
      </w:rPr>
    </w:pPr>
    <w:r w:rsidRPr="00130C99">
      <w:rPr>
        <w:sz w:val="20"/>
        <w:szCs w:val="20"/>
      </w:rPr>
      <w:t>Revision Number:</w:t>
    </w:r>
  </w:p>
  <w:p w:rsidR="00B82364" w:rsidRPr="00130C99" w:rsidRDefault="00B82364">
    <w:pPr>
      <w:pStyle w:val="Header"/>
      <w:jc w:val="right"/>
      <w:rPr>
        <w:sz w:val="20"/>
        <w:szCs w:val="20"/>
      </w:rPr>
    </w:pPr>
    <w:r w:rsidRPr="00130C99">
      <w:rPr>
        <w:sz w:val="20"/>
        <w:szCs w:val="20"/>
      </w:rPr>
      <w:t>Revision Date:</w:t>
    </w:r>
  </w:p>
  <w:p w:rsidR="00B82364" w:rsidRPr="00130C99" w:rsidRDefault="00B82364">
    <w:pPr>
      <w:pStyle w:val="Header"/>
      <w:jc w:val="right"/>
      <w:rPr>
        <w:sz w:val="20"/>
        <w:szCs w:val="20"/>
      </w:rPr>
    </w:pPr>
    <w:r w:rsidRPr="00130C99">
      <w:rPr>
        <w:sz w:val="20"/>
        <w:szCs w:val="20"/>
      </w:rPr>
      <w:t xml:space="preserve">Page </w:t>
    </w:r>
    <w:r w:rsidR="00822F3F" w:rsidRPr="00130C99">
      <w:rPr>
        <w:b/>
        <w:bCs/>
        <w:sz w:val="20"/>
        <w:szCs w:val="20"/>
      </w:rPr>
      <w:fldChar w:fldCharType="begin"/>
    </w:r>
    <w:r w:rsidRPr="00130C99">
      <w:rPr>
        <w:b/>
        <w:bCs/>
        <w:sz w:val="20"/>
        <w:szCs w:val="20"/>
      </w:rPr>
      <w:instrText xml:space="preserve"> PAGE </w:instrText>
    </w:r>
    <w:r w:rsidR="00822F3F" w:rsidRPr="00130C99">
      <w:rPr>
        <w:b/>
        <w:bCs/>
        <w:sz w:val="20"/>
        <w:szCs w:val="20"/>
      </w:rPr>
      <w:fldChar w:fldCharType="separate"/>
    </w:r>
    <w:r w:rsidR="00762E64">
      <w:rPr>
        <w:b/>
        <w:bCs/>
        <w:noProof/>
        <w:sz w:val="20"/>
        <w:szCs w:val="20"/>
      </w:rPr>
      <w:t>1</w:t>
    </w:r>
    <w:r w:rsidR="00822F3F" w:rsidRPr="00130C99">
      <w:rPr>
        <w:b/>
        <w:bCs/>
        <w:sz w:val="20"/>
        <w:szCs w:val="20"/>
      </w:rPr>
      <w:fldChar w:fldCharType="end"/>
    </w:r>
    <w:r w:rsidRPr="00130C99">
      <w:rPr>
        <w:sz w:val="20"/>
        <w:szCs w:val="20"/>
      </w:rPr>
      <w:t xml:space="preserve"> of </w:t>
    </w:r>
    <w:r w:rsidR="00822F3F" w:rsidRPr="00130C99">
      <w:rPr>
        <w:b/>
        <w:bCs/>
        <w:sz w:val="20"/>
        <w:szCs w:val="20"/>
      </w:rPr>
      <w:fldChar w:fldCharType="begin"/>
    </w:r>
    <w:r w:rsidRPr="00130C99">
      <w:rPr>
        <w:b/>
        <w:bCs/>
        <w:sz w:val="20"/>
        <w:szCs w:val="20"/>
      </w:rPr>
      <w:instrText xml:space="preserve"> NUMPAGES  </w:instrText>
    </w:r>
    <w:r w:rsidR="00822F3F" w:rsidRPr="00130C99">
      <w:rPr>
        <w:b/>
        <w:bCs/>
        <w:sz w:val="20"/>
        <w:szCs w:val="20"/>
      </w:rPr>
      <w:fldChar w:fldCharType="separate"/>
    </w:r>
    <w:r w:rsidR="00762E64">
      <w:rPr>
        <w:b/>
        <w:bCs/>
        <w:noProof/>
        <w:sz w:val="20"/>
        <w:szCs w:val="20"/>
      </w:rPr>
      <w:t>1</w:t>
    </w:r>
    <w:r w:rsidR="00822F3F" w:rsidRPr="00130C99">
      <w:rPr>
        <w:b/>
        <w:bCs/>
        <w:sz w:val="20"/>
        <w:szCs w:val="20"/>
      </w:rPr>
      <w:fldChar w:fldCharType="end"/>
    </w:r>
  </w:p>
  <w:p w:rsidR="00B82364" w:rsidRDefault="00B823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85964"/>
    <w:multiLevelType w:val="hybridMultilevel"/>
    <w:tmpl w:val="38266D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52"/>
    <w:rsid w:val="000B6AAF"/>
    <w:rsid w:val="00130C99"/>
    <w:rsid w:val="001706D5"/>
    <w:rsid w:val="00190489"/>
    <w:rsid w:val="001F0503"/>
    <w:rsid w:val="001F6296"/>
    <w:rsid w:val="00216BF1"/>
    <w:rsid w:val="00223128"/>
    <w:rsid w:val="00226C65"/>
    <w:rsid w:val="002352CA"/>
    <w:rsid w:val="002362C2"/>
    <w:rsid w:val="002B4F8D"/>
    <w:rsid w:val="002C58D3"/>
    <w:rsid w:val="002D1D52"/>
    <w:rsid w:val="002E44E2"/>
    <w:rsid w:val="00332EF5"/>
    <w:rsid w:val="003C31C6"/>
    <w:rsid w:val="003C5050"/>
    <w:rsid w:val="003E5F5D"/>
    <w:rsid w:val="00402B16"/>
    <w:rsid w:val="00487BBF"/>
    <w:rsid w:val="004A175F"/>
    <w:rsid w:val="004C5DE3"/>
    <w:rsid w:val="004E0B16"/>
    <w:rsid w:val="004F69D6"/>
    <w:rsid w:val="0052704E"/>
    <w:rsid w:val="00537E71"/>
    <w:rsid w:val="005714CA"/>
    <w:rsid w:val="00594380"/>
    <w:rsid w:val="00597F9F"/>
    <w:rsid w:val="005A77C5"/>
    <w:rsid w:val="00660F07"/>
    <w:rsid w:val="00671895"/>
    <w:rsid w:val="006919AF"/>
    <w:rsid w:val="00710EE3"/>
    <w:rsid w:val="00713B7E"/>
    <w:rsid w:val="00755A21"/>
    <w:rsid w:val="00762E64"/>
    <w:rsid w:val="007B4AA8"/>
    <w:rsid w:val="007D62CD"/>
    <w:rsid w:val="008041B3"/>
    <w:rsid w:val="00822F3F"/>
    <w:rsid w:val="008F066B"/>
    <w:rsid w:val="008F0996"/>
    <w:rsid w:val="00900919"/>
    <w:rsid w:val="00925C3C"/>
    <w:rsid w:val="00947B9E"/>
    <w:rsid w:val="0096117B"/>
    <w:rsid w:val="009755C5"/>
    <w:rsid w:val="009A674D"/>
    <w:rsid w:val="00A17BC5"/>
    <w:rsid w:val="00A22594"/>
    <w:rsid w:val="00A65524"/>
    <w:rsid w:val="00A834E4"/>
    <w:rsid w:val="00A930F6"/>
    <w:rsid w:val="00B01C25"/>
    <w:rsid w:val="00B02C29"/>
    <w:rsid w:val="00B712D1"/>
    <w:rsid w:val="00B73212"/>
    <w:rsid w:val="00B82364"/>
    <w:rsid w:val="00BF18CD"/>
    <w:rsid w:val="00BF549C"/>
    <w:rsid w:val="00C13DAB"/>
    <w:rsid w:val="00C21E2B"/>
    <w:rsid w:val="00C311B2"/>
    <w:rsid w:val="00C603A7"/>
    <w:rsid w:val="00C97361"/>
    <w:rsid w:val="00CB1F80"/>
    <w:rsid w:val="00D012D0"/>
    <w:rsid w:val="00D0602A"/>
    <w:rsid w:val="00D17CBC"/>
    <w:rsid w:val="00D32072"/>
    <w:rsid w:val="00E32EB5"/>
    <w:rsid w:val="00E953BD"/>
    <w:rsid w:val="00E953E9"/>
    <w:rsid w:val="00F6380C"/>
    <w:rsid w:val="00FC4A4F"/>
    <w:rsid w:val="00FC5F8F"/>
    <w:rsid w:val="00FD02DF"/>
    <w:rsid w:val="00FF0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F0C16"/>
  </w:style>
  <w:style w:type="paragraph" w:styleId="Footer">
    <w:name w:val="footer"/>
    <w:basedOn w:val="Normal"/>
    <w:link w:val="FooterChar"/>
    <w:uiPriority w:val="99"/>
    <w:semiHidden/>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F0C16"/>
  </w:style>
  <w:style w:type="paragraph" w:styleId="BalloonText">
    <w:name w:val="Balloon Text"/>
    <w:basedOn w:val="Normal"/>
    <w:link w:val="BalloonTextChar"/>
    <w:uiPriority w:val="99"/>
    <w:semiHidden/>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0C16"/>
    <w:rPr>
      <w:rFonts w:ascii="Tahoma" w:hAnsi="Tahoma" w:cs="Tahoma"/>
      <w:sz w:val="16"/>
      <w:szCs w:val="16"/>
    </w:rPr>
  </w:style>
  <w:style w:type="paragraph" w:styleId="ListParagraph">
    <w:name w:val="List Paragraph"/>
    <w:basedOn w:val="Normal"/>
    <w:uiPriority w:val="99"/>
    <w:qFormat/>
    <w:rsid w:val="004F69D6"/>
    <w:pPr>
      <w:ind w:left="720"/>
    </w:pPr>
  </w:style>
  <w:style w:type="table" w:styleId="TableGrid">
    <w:name w:val="Table Grid"/>
    <w:basedOn w:val="TableNormal"/>
    <w:uiPriority w:val="99"/>
    <w:rsid w:val="004A175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0"/>
    <w:pPr>
      <w:spacing w:after="200" w:line="276" w:lineRule="auto"/>
    </w:pPr>
    <w:rPr>
      <w:rFonts w:cs="Calibr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F0C1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F0C16"/>
  </w:style>
  <w:style w:type="paragraph" w:styleId="Footer">
    <w:name w:val="footer"/>
    <w:basedOn w:val="Normal"/>
    <w:link w:val="FooterChar"/>
    <w:uiPriority w:val="99"/>
    <w:semiHidden/>
    <w:rsid w:val="00FF0C1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FF0C16"/>
  </w:style>
  <w:style w:type="paragraph" w:styleId="BalloonText">
    <w:name w:val="Balloon Text"/>
    <w:basedOn w:val="Normal"/>
    <w:link w:val="BalloonTextChar"/>
    <w:uiPriority w:val="99"/>
    <w:semiHidden/>
    <w:rsid w:val="00FF0C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0C16"/>
    <w:rPr>
      <w:rFonts w:ascii="Tahoma" w:hAnsi="Tahoma" w:cs="Tahoma"/>
      <w:sz w:val="16"/>
      <w:szCs w:val="16"/>
    </w:rPr>
  </w:style>
  <w:style w:type="paragraph" w:styleId="ListParagraph">
    <w:name w:val="List Paragraph"/>
    <w:basedOn w:val="Normal"/>
    <w:uiPriority w:val="99"/>
    <w:qFormat/>
    <w:rsid w:val="004F69D6"/>
    <w:pPr>
      <w:ind w:left="720"/>
    </w:pPr>
  </w:style>
  <w:style w:type="table" w:styleId="TableGrid">
    <w:name w:val="Table Grid"/>
    <w:basedOn w:val="TableNormal"/>
    <w:uiPriority w:val="99"/>
    <w:rsid w:val="004A175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39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QAPP Worksheet #13: Secondary Data Uses and Limitations</vt:lpstr>
    </vt:vector>
  </TitlesOfParts>
  <Company>MDB, Inc.</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QAPP Worksheet #13: Secondary Data Uses and Limitations</dc:title>
  <dc:subject>This worksheet should be used to identify sources of secondary data (i.e., data generated for purposes other than this specific project or data pertinent to this project generated under a separate QAPP) and summarize information relevant to their uses for the current project.</dc:subject>
  <dc:creator>US EPA;US Department of Defense;US Department of Energy</dc:creator>
  <cp:keywords>data type, data source, data uses, reliability, limitations</cp:keywords>
  <cp:lastModifiedBy>Kevin O'Donovan</cp:lastModifiedBy>
  <cp:revision>2</cp:revision>
  <cp:lastPrinted>2011-01-14T18:14:00Z</cp:lastPrinted>
  <dcterms:created xsi:type="dcterms:W3CDTF">2012-05-07T13:41:00Z</dcterms:created>
  <dcterms:modified xsi:type="dcterms:W3CDTF">2012-05-07T13:41:00Z</dcterms:modified>
</cp:coreProperties>
</file>